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B0124" w14:textId="00B17BD7" w:rsidR="00F30079" w:rsidRDefault="00F30079" w:rsidP="005A7FA7">
      <w:pPr>
        <w:spacing w:after="0" w:line="240" w:lineRule="auto"/>
        <w:ind w:left="14" w:right="58" w:hanging="14"/>
        <w:jc w:val="center"/>
        <w:rPr>
          <w:b/>
        </w:rPr>
      </w:pPr>
      <w:r w:rsidRPr="00F30079">
        <w:rPr>
          <w:b/>
        </w:rPr>
        <w:t xml:space="preserve">Стан та перспективи співробітництва України </w:t>
      </w:r>
      <w:r w:rsidR="005A7FA7">
        <w:rPr>
          <w:b/>
        </w:rPr>
        <w:t xml:space="preserve"> </w:t>
      </w:r>
      <w:r w:rsidRPr="00F30079">
        <w:rPr>
          <w:b/>
        </w:rPr>
        <w:t>з Танзані</w:t>
      </w:r>
      <w:r w:rsidR="005A7FA7">
        <w:rPr>
          <w:b/>
        </w:rPr>
        <w:t>єю</w:t>
      </w:r>
      <w:r w:rsidRPr="00F30079">
        <w:rPr>
          <w:b/>
        </w:rPr>
        <w:t xml:space="preserve"> у галузях агропромислового комплексу та сфері продовольчої безпеки</w:t>
      </w:r>
    </w:p>
    <w:p w14:paraId="7C936267" w14:textId="77777777" w:rsidR="005A7FA7" w:rsidRPr="005A7FA7" w:rsidRDefault="005A7FA7" w:rsidP="005A7FA7">
      <w:pPr>
        <w:spacing w:after="0" w:line="240" w:lineRule="auto"/>
        <w:ind w:left="14" w:right="58" w:hanging="14"/>
        <w:jc w:val="center"/>
        <w:rPr>
          <w:b/>
          <w:sz w:val="12"/>
          <w:szCs w:val="12"/>
        </w:rPr>
      </w:pPr>
    </w:p>
    <w:p w14:paraId="7D90253B" w14:textId="77777777" w:rsidR="00F30079" w:rsidRPr="00F30079" w:rsidRDefault="00F30079" w:rsidP="005A7FA7">
      <w:pPr>
        <w:ind w:hanging="15"/>
        <w:jc w:val="center"/>
        <w:rPr>
          <w:bCs/>
        </w:rPr>
      </w:pPr>
      <w:r w:rsidRPr="00F30079">
        <w:rPr>
          <w:bCs/>
        </w:rPr>
        <w:t>(інформаційно-аналітична довідка)</w:t>
      </w:r>
    </w:p>
    <w:p w14:paraId="39F6031E" w14:textId="77777777" w:rsidR="00F30079" w:rsidRPr="00F30079" w:rsidRDefault="00F30079" w:rsidP="00F30079">
      <w:pPr>
        <w:rPr>
          <w:bCs/>
        </w:rPr>
      </w:pPr>
    </w:p>
    <w:p w14:paraId="2DE262ED" w14:textId="77777777" w:rsidR="00F30079" w:rsidRPr="00F30079" w:rsidRDefault="00F30079" w:rsidP="00F30079">
      <w:pPr>
        <w:jc w:val="center"/>
        <w:rPr>
          <w:b/>
        </w:rPr>
      </w:pPr>
      <w:r w:rsidRPr="00F30079">
        <w:rPr>
          <w:b/>
        </w:rPr>
        <w:t>Стислий огляд агропромислового сектору Танзанії</w:t>
      </w:r>
    </w:p>
    <w:p w14:paraId="5CAD72BA" w14:textId="77777777" w:rsidR="00F30079" w:rsidRPr="00F30079" w:rsidRDefault="00F30079" w:rsidP="00F30079">
      <w:pPr>
        <w:rPr>
          <w:bCs/>
        </w:rPr>
      </w:pPr>
      <w:r w:rsidRPr="00F30079">
        <w:rPr>
          <w:bCs/>
        </w:rPr>
        <w:t xml:space="preserve">У структурі ВВП Танзанії сільське господарство посідає частку  23% (2024 р.) або, у грошовому еквіваленті, 18,30 млрд дол. США. Загальна кількість населення країни – 69,5 млн. чол, з яких 80% проживає в сільських регіонах та, відповідно, задіяно в сільському господарстві. </w:t>
      </w:r>
    </w:p>
    <w:p w14:paraId="0517377E" w14:textId="609C4715" w:rsidR="00F30079" w:rsidRPr="00F30079" w:rsidRDefault="00F30079" w:rsidP="00F30079">
      <w:pPr>
        <w:rPr>
          <w:bCs/>
        </w:rPr>
      </w:pPr>
      <w:r w:rsidRPr="00F30079">
        <w:rPr>
          <w:bCs/>
        </w:rPr>
        <w:t>Упродовж поточного 2025</w:t>
      </w:r>
      <w:r>
        <w:rPr>
          <w:bCs/>
        </w:rPr>
        <w:t xml:space="preserve"> року</w:t>
      </w:r>
      <w:r w:rsidRPr="00F30079">
        <w:rPr>
          <w:bCs/>
        </w:rPr>
        <w:t xml:space="preserve"> діяльність уряду у галузі сільського господарства визнача</w:t>
      </w:r>
      <w:r>
        <w:rPr>
          <w:bCs/>
        </w:rPr>
        <w:t>єть</w:t>
      </w:r>
      <w:r w:rsidRPr="00F30079">
        <w:rPr>
          <w:bCs/>
        </w:rPr>
        <w:t xml:space="preserve">ся  кількома рамковими урядовими </w:t>
      </w:r>
      <w:r>
        <w:rPr>
          <w:bCs/>
        </w:rPr>
        <w:t>програмами</w:t>
      </w:r>
      <w:r w:rsidRPr="00F30079">
        <w:rPr>
          <w:bCs/>
        </w:rPr>
        <w:t>, спрямованими на трансформацію с/г сектору, забезпечення гарантованої продовольчої безпеки (насамперед, продовольчої самодостатності) країни, освоєння та розвиток статусу Танзанії як «продовольчого кошика» та експортера с/г продукції, насамперед, у Східно-африкансько</w:t>
      </w:r>
      <w:r>
        <w:rPr>
          <w:bCs/>
        </w:rPr>
        <w:t>му</w:t>
      </w:r>
      <w:r w:rsidRPr="00F30079">
        <w:rPr>
          <w:bCs/>
        </w:rPr>
        <w:t xml:space="preserve"> регіон</w:t>
      </w:r>
      <w:r>
        <w:rPr>
          <w:bCs/>
        </w:rPr>
        <w:t>і</w:t>
      </w:r>
      <w:r w:rsidRPr="00F30079">
        <w:rPr>
          <w:bCs/>
        </w:rPr>
        <w:t>. Нижче наведено основні рамкові програмні документи, а також структура та конкретні проєкти, що реалізовуються у с/г країни:</w:t>
      </w:r>
    </w:p>
    <w:p w14:paraId="33B26B13" w14:textId="16F0A415" w:rsidR="00F30079" w:rsidRPr="00F30079" w:rsidRDefault="00F30079" w:rsidP="00F30079">
      <w:pPr>
        <w:rPr>
          <w:bCs/>
        </w:rPr>
      </w:pPr>
      <w:r w:rsidRPr="00664DF2">
        <w:rPr>
          <w:bCs/>
          <w:i/>
          <w:iCs/>
        </w:rPr>
        <w:t xml:space="preserve">Програма розвитку сільськогосподарського сектору, Фаза II / Agricultural Sector Development Programme Phase II (ASDP II), </w:t>
      </w:r>
      <w:hyperlink r:id="rId8" w:history="1">
        <w:r w:rsidRPr="00664DF2">
          <w:rPr>
            <w:rStyle w:val="a7"/>
            <w:bCs/>
            <w:i/>
            <w:iCs/>
          </w:rPr>
          <w:t>https://asdp.kilimo.go.tz/</w:t>
        </w:r>
      </w:hyperlink>
      <w:r>
        <w:rPr>
          <w:b/>
        </w:rPr>
        <w:t xml:space="preserve"> </w:t>
      </w:r>
      <w:r w:rsidRPr="00F30079">
        <w:rPr>
          <w:b/>
        </w:rPr>
        <w:t>.</w:t>
      </w:r>
      <w:r w:rsidRPr="00F30079">
        <w:rPr>
          <w:bCs/>
        </w:rPr>
        <w:t xml:space="preserve"> Ця програма, що розрахована до кінця 2025 року, має на меті  трансформування сільськогосподарського сектору (рослинництво, тваринництво та рибальство) у напрямку більш високої продуктивності, комерціалізації та збільшення доходів дрібних фермерів, що зрештою гарантуватиме продовольчу безпеку (продовольчу самодостатність) країни. ЇЇ ключові компоненти включають:</w:t>
      </w:r>
    </w:p>
    <w:p w14:paraId="5EC28E5E" w14:textId="77777777" w:rsidR="00F30079" w:rsidRPr="00F30079" w:rsidRDefault="00F30079" w:rsidP="00F30079">
      <w:pPr>
        <w:rPr>
          <w:bCs/>
        </w:rPr>
      </w:pPr>
      <w:r w:rsidRPr="00F30079">
        <w:rPr>
          <w:bCs/>
        </w:rPr>
        <w:t>-</w:t>
      </w:r>
      <w:r w:rsidRPr="00F30079">
        <w:rPr>
          <w:bCs/>
        </w:rPr>
        <w:tab/>
        <w:t>стале управління водними та земельними ресурсами (включаючи зрошення);</w:t>
      </w:r>
    </w:p>
    <w:p w14:paraId="68DC9D83" w14:textId="77777777" w:rsidR="00F30079" w:rsidRPr="00F30079" w:rsidRDefault="00F30079" w:rsidP="00F30079">
      <w:pPr>
        <w:rPr>
          <w:bCs/>
        </w:rPr>
      </w:pPr>
      <w:r w:rsidRPr="00F30079">
        <w:rPr>
          <w:bCs/>
        </w:rPr>
        <w:t>-</w:t>
      </w:r>
      <w:r w:rsidRPr="00F30079">
        <w:rPr>
          <w:bCs/>
        </w:rPr>
        <w:tab/>
        <w:t>підвищення продуктивності та прибутковості сільського господарства (з акцентом на пріоритетних ланцюгах створення вартості);</w:t>
      </w:r>
    </w:p>
    <w:p w14:paraId="7293A3F9" w14:textId="77777777" w:rsidR="00F30079" w:rsidRPr="00F30079" w:rsidRDefault="00F30079" w:rsidP="00F30079">
      <w:pPr>
        <w:rPr>
          <w:bCs/>
        </w:rPr>
      </w:pPr>
      <w:r w:rsidRPr="00F30079">
        <w:rPr>
          <w:bCs/>
        </w:rPr>
        <w:t>-</w:t>
      </w:r>
      <w:r w:rsidRPr="00F30079">
        <w:rPr>
          <w:bCs/>
        </w:rPr>
        <w:tab/>
        <w:t>удосконалення систем сільськогосподарського маркетингу та торгівлі;</w:t>
      </w:r>
    </w:p>
    <w:p w14:paraId="25066B30" w14:textId="77777777" w:rsidR="00F30079" w:rsidRPr="00F30079" w:rsidRDefault="00F30079" w:rsidP="00F30079">
      <w:pPr>
        <w:rPr>
          <w:bCs/>
        </w:rPr>
      </w:pPr>
      <w:r w:rsidRPr="00F30079">
        <w:rPr>
          <w:bCs/>
        </w:rPr>
        <w:t>-</w:t>
      </w:r>
      <w:r w:rsidRPr="00F30079">
        <w:rPr>
          <w:bCs/>
        </w:rPr>
        <w:tab/>
        <w:t>посилення інституційної підтримки та нарощування потенціалу.</w:t>
      </w:r>
    </w:p>
    <w:p w14:paraId="0E3A5EFD" w14:textId="7F60F8E4" w:rsidR="00F30079" w:rsidRPr="00F30079" w:rsidRDefault="00F30079" w:rsidP="00F30079">
      <w:pPr>
        <w:rPr>
          <w:bCs/>
        </w:rPr>
      </w:pPr>
      <w:r w:rsidRPr="00664DF2">
        <w:rPr>
          <w:bCs/>
          <w:i/>
          <w:iCs/>
        </w:rPr>
        <w:t xml:space="preserve">Третій п'ятирічний національний план розвитку / Third Five-Year National Development Plan (FYDP III) 2021/22 – 2025/26, </w:t>
      </w:r>
      <w:hyperlink r:id="rId9" w:history="1">
        <w:r w:rsidRPr="00664DF2">
          <w:rPr>
            <w:rStyle w:val="a7"/>
            <w:bCs/>
            <w:i/>
            <w:iCs/>
          </w:rPr>
          <w:t>https://faolex.fao.org/docs/pdf/tan205461.pdf</w:t>
        </w:r>
      </w:hyperlink>
      <w:r>
        <w:rPr>
          <w:b/>
        </w:rPr>
        <w:t xml:space="preserve"> </w:t>
      </w:r>
      <w:r w:rsidRPr="00F30079">
        <w:rPr>
          <w:bCs/>
        </w:rPr>
        <w:t>,  який, зокрема, визначає сільське господарство вирішальним сектором для економічної трансформації Танзанії. Він спрямований на підвищення ефективності та продуктивності сільського господарства шляхом використання наявних ресурсів.</w:t>
      </w:r>
    </w:p>
    <w:p w14:paraId="60F9ED72" w14:textId="2ECB2BAB" w:rsidR="00F30079" w:rsidRPr="00F30079" w:rsidRDefault="00F30079" w:rsidP="00F30079">
      <w:pPr>
        <w:rPr>
          <w:bCs/>
        </w:rPr>
      </w:pPr>
      <w:r w:rsidRPr="00F30079">
        <w:rPr>
          <w:bCs/>
        </w:rPr>
        <w:t xml:space="preserve">Похідними від зазначених планів/програм є низка інших проєктів, пов’язаних з результатами розвитку та модернізації національного сільського господарства, наприклад, </w:t>
      </w:r>
      <w:r w:rsidRPr="00664DF2">
        <w:rPr>
          <w:bCs/>
          <w:i/>
          <w:iCs/>
        </w:rPr>
        <w:t xml:space="preserve">Національний багатосекторальний план дій у галузі харчування / The second National Multisectoral Nutrition Action Plan (NMNAP II) </w:t>
      </w:r>
      <w:hyperlink r:id="rId10" w:history="1">
        <w:r w:rsidRPr="00664DF2">
          <w:rPr>
            <w:rStyle w:val="a7"/>
            <w:bCs/>
            <w:i/>
            <w:iCs/>
          </w:rPr>
          <w:t>https://faolex.fao.org/docs/pdf/tan212099.pdf</w:t>
        </w:r>
      </w:hyperlink>
      <w:r>
        <w:rPr>
          <w:bCs/>
        </w:rPr>
        <w:t xml:space="preserve"> </w:t>
      </w:r>
      <w:r w:rsidRPr="00F30079">
        <w:rPr>
          <w:bCs/>
        </w:rPr>
        <w:t xml:space="preserve">  та ін.</w:t>
      </w:r>
    </w:p>
    <w:p w14:paraId="4521E3F9" w14:textId="1A29F3C6" w:rsidR="00664DF2" w:rsidRPr="00664DF2" w:rsidRDefault="00664DF2" w:rsidP="00664DF2">
      <w:pPr>
        <w:rPr>
          <w:b/>
        </w:rPr>
      </w:pPr>
      <w:r w:rsidRPr="00664DF2">
        <w:rPr>
          <w:b/>
        </w:rPr>
        <w:lastRenderedPageBreak/>
        <w:t>Структура бюджетних асигнувань у с/г секторі Танзанії на 2024-2025 роки (відповідні дані на 2025-2026 рр. відсутні у відкритому доступі):</w:t>
      </w:r>
    </w:p>
    <w:p w14:paraId="14EB52E0" w14:textId="77777777" w:rsidR="00664DF2" w:rsidRPr="00664DF2" w:rsidRDefault="00664DF2" w:rsidP="00664DF2">
      <w:pPr>
        <w:rPr>
          <w:bCs/>
        </w:rPr>
      </w:pPr>
      <w:r w:rsidRPr="00664DF2">
        <w:rPr>
          <w:bCs/>
        </w:rPr>
        <w:t>Загальний кошторисний обсяг асигнувань на розвиток сільськогосподарського сектору у 2024/2025 роках складає  516, 59 млн. дол. США, що на 44,8% більше, ніж попереднього фіскального року:</w:t>
      </w:r>
    </w:p>
    <w:p w14:paraId="22D7111A" w14:textId="77777777" w:rsidR="00664DF2" w:rsidRPr="00664DF2" w:rsidRDefault="00664DF2" w:rsidP="00664DF2">
      <w:pPr>
        <w:rPr>
          <w:bCs/>
        </w:rPr>
      </w:pPr>
      <w:r w:rsidRPr="00664DF2">
        <w:rPr>
          <w:bCs/>
        </w:rPr>
        <w:t>- сектор рослинництва: асигнування зросли з 172,31 млн. дол.США у 2023/24 роках до 259, 00  млн. дол. США у 2024/25 роках.</w:t>
      </w:r>
    </w:p>
    <w:p w14:paraId="2FB7CEFD" w14:textId="77777777" w:rsidR="00664DF2" w:rsidRPr="00664DF2" w:rsidRDefault="00664DF2" w:rsidP="00664DF2">
      <w:pPr>
        <w:rPr>
          <w:bCs/>
        </w:rPr>
      </w:pPr>
      <w:r w:rsidRPr="00664DF2">
        <w:rPr>
          <w:bCs/>
        </w:rPr>
        <w:t>- іригаційні проєкти: асигнування зросли з 110,99 млн. дол.США у 2023/24 роках до 122,80 млн. дол..США у 2024/25 роках.</w:t>
      </w:r>
    </w:p>
    <w:p w14:paraId="398C90C2" w14:textId="77777777" w:rsidR="00664DF2" w:rsidRPr="00664DF2" w:rsidRDefault="00664DF2" w:rsidP="00664DF2">
      <w:pPr>
        <w:rPr>
          <w:bCs/>
        </w:rPr>
      </w:pPr>
      <w:r w:rsidRPr="00664DF2">
        <w:rPr>
          <w:bCs/>
        </w:rPr>
        <w:t>- тваринництво та рибальство: загальний кошторис бюджету становить 170,32 млн. дол..США, з яких 134,35 млн. дол..США (78,9%) були виділені на видатки на розвиток.</w:t>
      </w:r>
    </w:p>
    <w:p w14:paraId="20C7F155" w14:textId="76BB7A38" w:rsidR="00664DF2" w:rsidRPr="00664DF2" w:rsidRDefault="00664DF2" w:rsidP="00664DF2">
      <w:pPr>
        <w:rPr>
          <w:b/>
        </w:rPr>
      </w:pPr>
      <w:r w:rsidRPr="00664DF2">
        <w:rPr>
          <w:b/>
        </w:rPr>
        <w:t>Структура  напрямків діяльності з модернізації національного сільського господарства</w:t>
      </w:r>
    </w:p>
    <w:p w14:paraId="6445942F" w14:textId="46EFCB70" w:rsidR="00664DF2" w:rsidRPr="00664DF2" w:rsidRDefault="00664DF2" w:rsidP="00664DF2">
      <w:pPr>
        <w:rPr>
          <w:bCs/>
        </w:rPr>
      </w:pPr>
      <w:r w:rsidRPr="00664DF2">
        <w:rPr>
          <w:bCs/>
        </w:rPr>
        <w:t xml:space="preserve">     Зазначені програмні документи та обсяг конкретних бюджетних асигнувань акцентують увагу на такі ключові напрямки діяльності з розвитку сільського господарства Танзанії у  2024-202</w:t>
      </w:r>
      <w:r>
        <w:rPr>
          <w:bCs/>
        </w:rPr>
        <w:t>6</w:t>
      </w:r>
      <w:r w:rsidRPr="00664DF2">
        <w:rPr>
          <w:bCs/>
        </w:rPr>
        <w:t xml:space="preserve"> рр.</w:t>
      </w:r>
    </w:p>
    <w:p w14:paraId="5C52C605" w14:textId="4C6F19B6" w:rsidR="00664DF2" w:rsidRPr="00664DF2" w:rsidRDefault="00664DF2" w:rsidP="00664DF2">
      <w:pPr>
        <w:rPr>
          <w:bCs/>
        </w:rPr>
      </w:pPr>
      <w:r w:rsidRPr="00F914A9">
        <w:rPr>
          <w:bCs/>
          <w:i/>
          <w:iCs/>
        </w:rPr>
        <w:t>Розвиток іригаційної інфраструктури.</w:t>
      </w:r>
      <w:r w:rsidRPr="00664DF2">
        <w:rPr>
          <w:bCs/>
        </w:rPr>
        <w:t xml:space="preserve"> Значна частина бюджету розвитку спрямована на розширення та вдосконалення іригаційних систем для зменшення залежності від богарного землеробства та підвищення продуктивності. Метою є досягнення показника 1,2 млн. гектарів зрошуваних земель до кінця 2025 року. Серед заходів з модернізації сільського господарства реалізації іригаційних проєктів керівництвом країни надається найвищий пріоритет – як базової інфраструктурної умови підвищення продуктивності сільського госодарства та досягення країною продовольчої самодостатності.  У цьому зв’язку характерного символізму набула заява президента Танзанії С</w:t>
      </w:r>
      <w:r>
        <w:rPr>
          <w:bCs/>
        </w:rPr>
        <w:t>.</w:t>
      </w:r>
      <w:r w:rsidRPr="00664DF2">
        <w:rPr>
          <w:bCs/>
        </w:rPr>
        <w:t>С</w:t>
      </w:r>
      <w:r>
        <w:rPr>
          <w:bCs/>
        </w:rPr>
        <w:t>.</w:t>
      </w:r>
      <w:r w:rsidRPr="00664DF2">
        <w:rPr>
          <w:bCs/>
        </w:rPr>
        <w:t xml:space="preserve">Хассан 25 лютого ц.р. саме на церемонії початку будівництва іригаційної дамби в регіоні Танга про те, що країна досягла у 2024 р. продовольчої самодостатності. Перспективними планами уряду Танзанії, зазначила політик у своєму виступі, є освоєння ролі надійного експортера агропродукції в сусідні країни. </w:t>
      </w:r>
    </w:p>
    <w:p w14:paraId="6E83A866" w14:textId="77777777" w:rsidR="00664DF2" w:rsidRPr="00664DF2" w:rsidRDefault="00664DF2" w:rsidP="00664DF2">
      <w:pPr>
        <w:rPr>
          <w:bCs/>
        </w:rPr>
      </w:pPr>
      <w:r w:rsidRPr="00F914A9">
        <w:rPr>
          <w:bCs/>
          <w:i/>
          <w:iCs/>
        </w:rPr>
        <w:t>Субсидії на засоби виробництва.</w:t>
      </w:r>
      <w:r w:rsidRPr="00664DF2">
        <w:rPr>
          <w:bCs/>
        </w:rPr>
        <w:t xml:space="preserve"> Уряд Танзанії продовжує підтримувати фермерів через субсидії на основні сільськогосподарські засоби виробництва, такі як добрива та насіння, щоб знизити витрати виробництва та підвищити врожайність.</w:t>
      </w:r>
    </w:p>
    <w:p w14:paraId="4BE03130" w14:textId="77777777" w:rsidR="00664DF2" w:rsidRPr="00664DF2" w:rsidRDefault="00664DF2" w:rsidP="00664DF2">
      <w:pPr>
        <w:rPr>
          <w:bCs/>
        </w:rPr>
      </w:pPr>
      <w:r w:rsidRPr="00F914A9">
        <w:rPr>
          <w:bCs/>
          <w:i/>
          <w:iCs/>
        </w:rPr>
        <w:t>Наукові дослідження та розробки.</w:t>
      </w:r>
      <w:r w:rsidRPr="00664DF2">
        <w:rPr>
          <w:bCs/>
        </w:rPr>
        <w:t xml:space="preserve"> Інвестиції спрямовуються в сільськогосподарські науково-дослідні установи для розробки поліпшених сортів культур, порід худоби та сталих технологій ведення сільського господарства.</w:t>
      </w:r>
    </w:p>
    <w:p w14:paraId="72CBDA12" w14:textId="77777777" w:rsidR="00664DF2" w:rsidRPr="00664DF2" w:rsidRDefault="00664DF2" w:rsidP="00664DF2">
      <w:pPr>
        <w:rPr>
          <w:bCs/>
        </w:rPr>
      </w:pPr>
      <w:r w:rsidRPr="00F914A9">
        <w:rPr>
          <w:bCs/>
          <w:i/>
          <w:iCs/>
        </w:rPr>
        <w:t>Поширення знань.</w:t>
      </w:r>
      <w:r w:rsidRPr="00664DF2">
        <w:rPr>
          <w:bCs/>
        </w:rPr>
        <w:t xml:space="preserve"> Посилення служб поширення сільськогосподарських знань для розповсюдження знань та передових практик серед фермерів залишається пріоритетом. Уряд виділив кошти на створення більшої кількості центрів поширення знань.</w:t>
      </w:r>
    </w:p>
    <w:p w14:paraId="1179EA5D" w14:textId="77777777" w:rsidR="00664DF2" w:rsidRPr="00664DF2" w:rsidRDefault="00664DF2" w:rsidP="00664DF2">
      <w:pPr>
        <w:rPr>
          <w:bCs/>
        </w:rPr>
      </w:pPr>
      <w:r w:rsidRPr="00F914A9">
        <w:rPr>
          <w:bCs/>
          <w:i/>
          <w:iCs/>
        </w:rPr>
        <w:lastRenderedPageBreak/>
        <w:t>Розвиток ланцюгів створення вартості.</w:t>
      </w:r>
      <w:r w:rsidRPr="00664DF2">
        <w:rPr>
          <w:bCs/>
        </w:rPr>
        <w:t xml:space="preserve"> Особлива увага приділяється вдосконаленню конкретних ланцюгів створення вартості, включаючи садівництво, вирощування картоплі, аквакультуру та птахівництво, для підвищення продуктивності, переробних потужностей та доступу до ринків.</w:t>
      </w:r>
    </w:p>
    <w:p w14:paraId="0D20B526" w14:textId="77777777" w:rsidR="00664DF2" w:rsidRPr="00664DF2" w:rsidRDefault="00664DF2" w:rsidP="00664DF2">
      <w:pPr>
        <w:rPr>
          <w:bCs/>
        </w:rPr>
      </w:pPr>
      <w:r w:rsidRPr="00F914A9">
        <w:rPr>
          <w:bCs/>
          <w:i/>
          <w:iCs/>
        </w:rPr>
        <w:t xml:space="preserve">Кліматично орієнтоване сільське господарство. </w:t>
      </w:r>
      <w:r w:rsidRPr="00664DF2">
        <w:rPr>
          <w:bCs/>
        </w:rPr>
        <w:t>Заохочення практик, які підвищують продуктивність, одночасно адаптуючись до наслідків зміни клімату та пом'якшуючи їх, є зростаючим напрямком діяльності.</w:t>
      </w:r>
    </w:p>
    <w:p w14:paraId="3AD23198" w14:textId="77777777" w:rsidR="00664DF2" w:rsidRPr="00664DF2" w:rsidRDefault="00664DF2" w:rsidP="00664DF2">
      <w:pPr>
        <w:rPr>
          <w:bCs/>
        </w:rPr>
      </w:pPr>
      <w:r w:rsidRPr="00F914A9">
        <w:rPr>
          <w:bCs/>
          <w:i/>
          <w:iCs/>
        </w:rPr>
        <w:t>Доступ до ринків та інфраструктура.</w:t>
      </w:r>
      <w:r w:rsidRPr="00664DF2">
        <w:rPr>
          <w:bCs/>
        </w:rPr>
        <w:t xml:space="preserve"> Інвестиції спрямовуються на покращення сільських доріг та ринкової інфраструктури для полегшення переміщення сільськогосподарської продукції та зменшення післяжнивних втрат.</w:t>
      </w:r>
    </w:p>
    <w:p w14:paraId="2CC5764D" w14:textId="77777777" w:rsidR="00664DF2" w:rsidRPr="00664DF2" w:rsidRDefault="00664DF2" w:rsidP="00664DF2">
      <w:pPr>
        <w:rPr>
          <w:bCs/>
        </w:rPr>
      </w:pPr>
      <w:r w:rsidRPr="00F914A9">
        <w:rPr>
          <w:bCs/>
          <w:i/>
          <w:iCs/>
        </w:rPr>
        <w:t>Залучення приватного сектору.</w:t>
      </w:r>
      <w:r w:rsidRPr="00664DF2">
        <w:rPr>
          <w:bCs/>
        </w:rPr>
        <w:t xml:space="preserve"> Уряд активно прагне створити сприятливе середовище для залучення інвестицій приватного сектору у виробництво, переробку та маркетинг сільськогосподарської продукції.</w:t>
      </w:r>
    </w:p>
    <w:p w14:paraId="2E5838E6" w14:textId="77777777" w:rsidR="00664DF2" w:rsidRPr="00664DF2" w:rsidRDefault="00664DF2" w:rsidP="00664DF2">
      <w:pPr>
        <w:rPr>
          <w:bCs/>
        </w:rPr>
      </w:pPr>
      <w:r w:rsidRPr="00F914A9">
        <w:rPr>
          <w:bCs/>
          <w:i/>
          <w:iCs/>
        </w:rPr>
        <w:t>Партнерство та співпраця.</w:t>
      </w:r>
      <w:r w:rsidRPr="00664DF2">
        <w:rPr>
          <w:bCs/>
        </w:rPr>
        <w:t xml:space="preserve"> Співпраця з іноземними донорами (міжнародними організаціями, іноземними державними фондами тощо), неурядовими організаціями, науково-дослідними установами та приватним сектором є важливим елементом для реалізації програм розвитку сільського господарства:</w:t>
      </w:r>
    </w:p>
    <w:p w14:paraId="098B89A1" w14:textId="77777777" w:rsidR="00664DF2" w:rsidRPr="00664DF2" w:rsidRDefault="00664DF2" w:rsidP="00664DF2">
      <w:pPr>
        <w:rPr>
          <w:bCs/>
        </w:rPr>
      </w:pPr>
      <w:r w:rsidRPr="00664DF2">
        <w:rPr>
          <w:bCs/>
        </w:rPr>
        <w:t>- фінансована ЄС AGRI-CONNECT (EU) Programme, https://agri-connect-tz.com/ , інвестиції в обсязі 100 млн.євро спрямовуються на підтримку малих фермерських господарств та розвиток інфраструктури у сільських регіонах;</w:t>
      </w:r>
    </w:p>
    <w:p w14:paraId="492B9032" w14:textId="77777777" w:rsidR="00664DF2" w:rsidRPr="00664DF2" w:rsidRDefault="00664DF2" w:rsidP="00664DF2">
      <w:pPr>
        <w:rPr>
          <w:bCs/>
        </w:rPr>
      </w:pPr>
      <w:r w:rsidRPr="00664DF2">
        <w:rPr>
          <w:bCs/>
        </w:rPr>
        <w:t>- фінансований ЄС проєкт EDFI AgriFI Tanzania Country Window, https://edfimc.eu/what-we-do/agrifi/tanzania-country-window/ з бюджетом 12 млн. євро спрямовується на підтримку малих фермерських господарств, що спеціалізуються на вирощуванні чаю та кави;</w:t>
      </w:r>
    </w:p>
    <w:p w14:paraId="2747BC89" w14:textId="77777777" w:rsidR="00664DF2" w:rsidRPr="00664DF2" w:rsidRDefault="00664DF2" w:rsidP="00664DF2">
      <w:pPr>
        <w:rPr>
          <w:bCs/>
        </w:rPr>
      </w:pPr>
      <w:r w:rsidRPr="00664DF2">
        <w:rPr>
          <w:bCs/>
        </w:rPr>
        <w:t xml:space="preserve">- фінансований ЄС проєкт ACT (Agricultural Council of Tanzania), https://www.actanzania.or.tz/, який надає фінансову допомогу фермерським господарствам, що спеціалізуються на вирощуванні кукурудзи та рису; </w:t>
      </w:r>
    </w:p>
    <w:p w14:paraId="06189C9B" w14:textId="5F368BE4" w:rsidR="00664DF2" w:rsidRPr="00664DF2" w:rsidRDefault="00664DF2" w:rsidP="00664DF2">
      <w:pPr>
        <w:rPr>
          <w:bCs/>
        </w:rPr>
      </w:pPr>
      <w:r w:rsidRPr="00664DF2">
        <w:rPr>
          <w:bCs/>
        </w:rPr>
        <w:t xml:space="preserve">- фінансована Світовим банком Програма продовольчої стійкості Танзанії/Food Systems Resilience Program (TFSRP), </w:t>
      </w:r>
      <w:hyperlink r:id="rId11" w:history="1">
        <w:r w:rsidR="005A7FA7" w:rsidRPr="002C3FD0">
          <w:rPr>
            <w:rStyle w:val="a7"/>
            <w:bCs/>
          </w:rPr>
          <w:t>https://projects.worldbank.org/en/projects-operations/project-detail/P179818</w:t>
        </w:r>
      </w:hyperlink>
      <w:r w:rsidR="005A7FA7">
        <w:rPr>
          <w:bCs/>
        </w:rPr>
        <w:t xml:space="preserve"> </w:t>
      </w:r>
    </w:p>
    <w:p w14:paraId="2255232E" w14:textId="77777777" w:rsidR="00664DF2" w:rsidRPr="00664DF2" w:rsidRDefault="00664DF2" w:rsidP="00664DF2">
      <w:pPr>
        <w:rPr>
          <w:bCs/>
        </w:rPr>
      </w:pPr>
      <w:r w:rsidRPr="00664DF2">
        <w:rPr>
          <w:bCs/>
        </w:rPr>
        <w:t>В квітні 2025 р. міністерство с/г Танзанії підписало меморандум про взаєморозуміння із зареєстрованою в США компанією «Corus International», https://corusinternational.org/  (фонд фінансує бізнес-проєкти з вирощування какао та кави). В рамках проєкту танзанійські фермери, що спеціалізуються на вирощуванні какао та кави, отримають фінансову допомогу у розмірі  30 млн. дол. США для збільшення виробництва какао та його просування на міжнародний ринок. Завдяки цим інвестиціям Танзанія планує наростити до 2030 р. щорічне виробництво кави  з 80 000 до 300 000 тон, а виробництво какао — з 14 490 до 80 000 тон;</w:t>
      </w:r>
    </w:p>
    <w:p w14:paraId="373361C5" w14:textId="77777777" w:rsidR="00664DF2" w:rsidRPr="00664DF2" w:rsidRDefault="00664DF2" w:rsidP="00664DF2">
      <w:pPr>
        <w:rPr>
          <w:bCs/>
        </w:rPr>
      </w:pPr>
      <w:r w:rsidRPr="00664DF2">
        <w:rPr>
          <w:bCs/>
        </w:rPr>
        <w:lastRenderedPageBreak/>
        <w:t>- низка проєктів з підтримки с/г із сумарним бюджетом близько 300 млн.дол.США, що фінансувалися USAID в Танзанії наразі заморожені, у зв’язку з реформуванням діяльності цієї інституції (веб-сторінка відділення агентства в Танзанії зараз недоступна).</w:t>
      </w:r>
    </w:p>
    <w:p w14:paraId="3688F9D3" w14:textId="087049B6" w:rsidR="00664DF2" w:rsidRPr="00664DF2" w:rsidRDefault="00664DF2" w:rsidP="00664DF2">
      <w:pPr>
        <w:rPr>
          <w:bCs/>
        </w:rPr>
      </w:pPr>
      <w:r w:rsidRPr="00664DF2">
        <w:rPr>
          <w:bCs/>
        </w:rPr>
        <w:t>Попри заяви політичного керівництва Танзанії щодо досягнення країною  у 2024 р. продовольчої самодостатності</w:t>
      </w:r>
      <w:r>
        <w:rPr>
          <w:bCs/>
        </w:rPr>
        <w:t xml:space="preserve">, країна </w:t>
      </w:r>
      <w:r w:rsidRPr="00664DF2">
        <w:rPr>
          <w:bCs/>
        </w:rPr>
        <w:t xml:space="preserve">продовжує імпортувати такі важливі для танзанійського ринку продовольства позиції як пшениця, рослинна олія (зокрема, соняшникова) та цукор. </w:t>
      </w:r>
    </w:p>
    <w:p w14:paraId="3FE4E866" w14:textId="035190A7" w:rsidR="00664DF2" w:rsidRPr="00664DF2" w:rsidRDefault="00664DF2" w:rsidP="00664DF2">
      <w:pPr>
        <w:rPr>
          <w:bCs/>
        </w:rPr>
      </w:pPr>
      <w:r w:rsidRPr="00664DF2">
        <w:rPr>
          <w:b/>
        </w:rPr>
        <w:t>Пшениця.</w:t>
      </w:r>
      <w:r w:rsidRPr="00664DF2">
        <w:rPr>
          <w:bCs/>
        </w:rPr>
        <w:t xml:space="preserve"> Річний обсяг місцевого виробництва становить 70 – 100 тис. тон, і «закриває» близько 10% потреб танзанійського ринку, загальний обсяг якого становить (у 2025 р.) близько 1,3 – 1,4 млн. (РФ – основний  експортер зерна пшениці в Танзанію з часткою до 65</w:t>
      </w:r>
      <w:r w:rsidR="005A579F">
        <w:rPr>
          <w:bCs/>
        </w:rPr>
        <w:t>-70</w:t>
      </w:r>
      <w:r w:rsidRPr="00664DF2">
        <w:rPr>
          <w:bCs/>
        </w:rPr>
        <w:t>% в структурі імпорту країною цього продукту). Згідно з даними Держмитслужби України, пшениц</w:t>
      </w:r>
      <w:r w:rsidR="005A579F">
        <w:rPr>
          <w:bCs/>
        </w:rPr>
        <w:t>я</w:t>
      </w:r>
      <w:r w:rsidRPr="00664DF2">
        <w:rPr>
          <w:bCs/>
        </w:rPr>
        <w:t xml:space="preserve"> з України до Танзанії </w:t>
      </w:r>
      <w:r w:rsidR="006919BF">
        <w:rPr>
          <w:bCs/>
        </w:rPr>
        <w:t>починаючи з</w:t>
      </w:r>
      <w:r w:rsidRPr="00664DF2">
        <w:rPr>
          <w:bCs/>
        </w:rPr>
        <w:t xml:space="preserve"> 202</w:t>
      </w:r>
      <w:r w:rsidR="006919BF">
        <w:rPr>
          <w:bCs/>
        </w:rPr>
        <w:t>2</w:t>
      </w:r>
      <w:r w:rsidRPr="00664DF2">
        <w:rPr>
          <w:bCs/>
        </w:rPr>
        <w:t xml:space="preserve"> р. не експортувал</w:t>
      </w:r>
      <w:r w:rsidR="003C6DF3">
        <w:rPr>
          <w:bCs/>
        </w:rPr>
        <w:t>а</w:t>
      </w:r>
      <w:r w:rsidRPr="00664DF2">
        <w:rPr>
          <w:bCs/>
        </w:rPr>
        <w:t xml:space="preserve">ся. </w:t>
      </w:r>
    </w:p>
    <w:p w14:paraId="4BB4553D" w14:textId="77777777" w:rsidR="00664DF2" w:rsidRPr="00664DF2" w:rsidRDefault="00664DF2" w:rsidP="00664DF2">
      <w:pPr>
        <w:rPr>
          <w:bCs/>
        </w:rPr>
      </w:pPr>
      <w:r w:rsidRPr="00664DF2">
        <w:rPr>
          <w:b/>
        </w:rPr>
        <w:t>Олія соняшникова.</w:t>
      </w:r>
      <w:r w:rsidRPr="00664DF2">
        <w:rPr>
          <w:bCs/>
        </w:rPr>
        <w:t xml:space="preserve"> Обсяг місцевого ринку продукту становить близько 600 тис. тон, з яких місцеве виробництво забезпечує близько 50%. При цьому лідером у структурі танзанійського імпорту соняшникової олії є Туреччина, з якої до Танзанії поставлено у 2024 р. соняшникової олії на суму  7,08  млн.дол. США. Згідно з даними Держмитслужби України, з України до Танзанії експортовано соняшникової олії на суму 4,20 млн.дол. США (2-е місце в структурі імпорту Танзанією цього продукту). </w:t>
      </w:r>
    </w:p>
    <w:p w14:paraId="6036EA3D" w14:textId="77777777" w:rsidR="00664DF2" w:rsidRPr="00664DF2" w:rsidRDefault="00664DF2" w:rsidP="00664DF2">
      <w:pPr>
        <w:rPr>
          <w:bCs/>
        </w:rPr>
      </w:pPr>
      <w:r w:rsidRPr="00664DF2">
        <w:rPr>
          <w:b/>
        </w:rPr>
        <w:t xml:space="preserve">Цукор. </w:t>
      </w:r>
      <w:r w:rsidRPr="00664DF2">
        <w:rPr>
          <w:bCs/>
        </w:rPr>
        <w:t>За різними оцінками річний обсяг місцевого ринку складає від 500 до 670 тис. тон, з яких 367 тис. тон забезпечено місцевими виробниками. Решту потреб забезпечує імпорт переважно з трьох країн – Індії, Таїланду та Бразилії. Згідно з даними Держмитслужби України, цукор  з України до Танзанії у 2022 – 2024 рр. не експортувався.</w:t>
      </w:r>
    </w:p>
    <w:p w14:paraId="61CEAF79" w14:textId="77777777" w:rsidR="00664DF2" w:rsidRPr="000D4E18" w:rsidRDefault="00664DF2" w:rsidP="00664DF2">
      <w:pPr>
        <w:rPr>
          <w:bCs/>
          <w:i/>
          <w:iCs/>
        </w:rPr>
      </w:pPr>
      <w:r w:rsidRPr="000D4E18">
        <w:rPr>
          <w:bCs/>
          <w:i/>
          <w:iCs/>
        </w:rPr>
        <w:t>Земельна реформа</w:t>
      </w:r>
    </w:p>
    <w:p w14:paraId="03178F0D" w14:textId="77777777" w:rsidR="00664DF2" w:rsidRPr="00664DF2" w:rsidRDefault="00664DF2" w:rsidP="00664DF2">
      <w:pPr>
        <w:rPr>
          <w:bCs/>
        </w:rPr>
      </w:pPr>
      <w:r w:rsidRPr="00664DF2">
        <w:rPr>
          <w:bCs/>
        </w:rPr>
        <w:t xml:space="preserve">Важливою складовою зусиль політичного керівництва Танзанії з розвитку сільського господарства країни є заходи з модернізації земельних відносин та ринку.    </w:t>
      </w:r>
    </w:p>
    <w:p w14:paraId="39D79BF9" w14:textId="65D3E7D8" w:rsidR="00664DF2" w:rsidRPr="00664DF2" w:rsidRDefault="000D4E18" w:rsidP="00664DF2">
      <w:pPr>
        <w:rPr>
          <w:bCs/>
        </w:rPr>
      </w:pPr>
      <w:r>
        <w:rPr>
          <w:bCs/>
        </w:rPr>
        <w:t xml:space="preserve">У березні </w:t>
      </w:r>
      <w:r w:rsidR="00664DF2" w:rsidRPr="00664DF2">
        <w:rPr>
          <w:bCs/>
        </w:rPr>
        <w:t xml:space="preserve">2025р. </w:t>
      </w:r>
      <w:r>
        <w:rPr>
          <w:bCs/>
        </w:rPr>
        <w:t xml:space="preserve">уряд </w:t>
      </w:r>
      <w:r w:rsidR="00664DF2" w:rsidRPr="00664DF2">
        <w:rPr>
          <w:bCs/>
        </w:rPr>
        <w:t>Танзанії презентува</w:t>
      </w:r>
      <w:r>
        <w:rPr>
          <w:bCs/>
        </w:rPr>
        <w:t>в</w:t>
      </w:r>
      <w:r w:rsidR="00664DF2" w:rsidRPr="00664DF2">
        <w:rPr>
          <w:bCs/>
        </w:rPr>
        <w:t xml:space="preserve"> нову редакцію Національної концепції землекористування (National Land Policy), яка є основним    загальнонаціональним нормативним документом, що визначає принципи землекористування в сучасних умовах розвитку Танзанії – країни з переважно сільським населенням. Такими принципами, зокрема, є – перебування  всього масиву землі у власності держави, гендерна рівність при реалізації права землекористування та землеволодіння (у т.ч. с/г призначення), прискорений відхід від звичаєвого права у питаннях землекористування та необхідність вирішення спорів виключно в судовому порядку, необхідність прийняття масиву адаптованих до Концепції нормативних актів та запровадження централізованої політики планування розвитку територій та їх забудови. Принциповими новаціями сфери землекористування стали: надання жінкам права спадкового землекористування та </w:t>
      </w:r>
      <w:r w:rsidR="00664DF2" w:rsidRPr="00664DF2">
        <w:rPr>
          <w:bCs/>
        </w:rPr>
        <w:lastRenderedPageBreak/>
        <w:t>землеволодіння, створення цифрового земельного кадастру та Національної земельної комісії, на яку покладатимуться функції протидії земельному рейдерству.</w:t>
      </w:r>
    </w:p>
    <w:p w14:paraId="1F87666B" w14:textId="77777777" w:rsidR="00664DF2" w:rsidRPr="00664DF2" w:rsidRDefault="00664DF2" w:rsidP="00664DF2">
      <w:pPr>
        <w:rPr>
          <w:bCs/>
        </w:rPr>
      </w:pPr>
      <w:r w:rsidRPr="000D4E18">
        <w:rPr>
          <w:bCs/>
          <w:i/>
          <w:iCs/>
        </w:rPr>
        <w:t>Інвестиції та бізнес-клімат.</w:t>
      </w:r>
      <w:r w:rsidRPr="00664DF2">
        <w:rPr>
          <w:bCs/>
        </w:rPr>
        <w:t xml:space="preserve"> Запровадження нової редакції Національної концепції землекористування, прийнятий у 2023 р. Інвестиційний Акт Танзанії («Tanzania Investment Act») та пов’язані з ним нормативні документи поступово спрощують правовий режим доступу прямих іноземних інвестицій у сільськогосподарську галузь Танзанії (зокрема, для реєстрації підприємства з іноземним капіталом достатньо статутного капіталу у розмірі 50 тис.дол.США) та доступ іноземців до ринку с/г землі (на правах довгострокової, до 99 років, оренди). </w:t>
      </w:r>
    </w:p>
    <w:p w14:paraId="0D962166" w14:textId="77777777" w:rsidR="00664DF2" w:rsidRPr="000D4E18" w:rsidRDefault="00664DF2" w:rsidP="00664DF2">
      <w:pPr>
        <w:rPr>
          <w:bCs/>
          <w:i/>
          <w:iCs/>
        </w:rPr>
      </w:pPr>
      <w:r w:rsidRPr="000D4E18">
        <w:rPr>
          <w:bCs/>
          <w:i/>
          <w:iCs/>
        </w:rPr>
        <w:t>Потенційні ризики</w:t>
      </w:r>
    </w:p>
    <w:p w14:paraId="7E6731FA" w14:textId="3D6C1702" w:rsidR="00664DF2" w:rsidRDefault="00664DF2" w:rsidP="00664DF2">
      <w:pPr>
        <w:rPr>
          <w:bCs/>
        </w:rPr>
      </w:pPr>
      <w:r w:rsidRPr="00664DF2">
        <w:rPr>
          <w:bCs/>
        </w:rPr>
        <w:t>Актуальними залишаються ризики, пов’язані з діяльністю іноземного бізнесу в с/г галузі Танзанії: хаотичність  вимог місцевих регуляторів агросфери та місцевої влади, архаїчність (що грунтується на де-факто звичаєвому праві) земельних відносин, похідне від зазначених факторів  рейдерство тощо.</w:t>
      </w:r>
    </w:p>
    <w:p w14:paraId="23655AB5" w14:textId="77777777" w:rsidR="00F30079" w:rsidRPr="00F30079" w:rsidRDefault="00F30079" w:rsidP="00F30079">
      <w:pPr>
        <w:rPr>
          <w:bCs/>
        </w:rPr>
      </w:pPr>
    </w:p>
    <w:p w14:paraId="2993CFB0" w14:textId="77777777" w:rsidR="00F30079" w:rsidRPr="000D4E18" w:rsidRDefault="00F30079" w:rsidP="003C6DF3">
      <w:pPr>
        <w:spacing w:after="0" w:line="259" w:lineRule="auto"/>
        <w:ind w:left="14" w:right="58" w:firstLine="720"/>
        <w:jc w:val="center"/>
        <w:rPr>
          <w:b/>
        </w:rPr>
      </w:pPr>
      <w:r w:rsidRPr="000D4E18">
        <w:rPr>
          <w:b/>
        </w:rPr>
        <w:t>Поточний стан торгівлі сільськогосподарською</w:t>
      </w:r>
    </w:p>
    <w:p w14:paraId="26936357" w14:textId="1A8B2A1B" w:rsidR="00F30079" w:rsidRPr="000D4E18" w:rsidRDefault="00F30079" w:rsidP="000D4E18">
      <w:pPr>
        <w:jc w:val="center"/>
        <w:rPr>
          <w:b/>
        </w:rPr>
      </w:pPr>
      <w:r w:rsidRPr="000D4E18">
        <w:rPr>
          <w:b/>
        </w:rPr>
        <w:t xml:space="preserve">продукцією між Україною та </w:t>
      </w:r>
      <w:r w:rsidR="000D4E18" w:rsidRPr="000D4E18">
        <w:rPr>
          <w:b/>
        </w:rPr>
        <w:t>Танзанією</w:t>
      </w:r>
    </w:p>
    <w:p w14:paraId="1B04D7B2" w14:textId="4824820A" w:rsidR="000D4E18" w:rsidRPr="000D4E18" w:rsidRDefault="000D4E18" w:rsidP="000D4E18">
      <w:pPr>
        <w:rPr>
          <w:bCs/>
        </w:rPr>
      </w:pPr>
      <w:r w:rsidRPr="000D4E18">
        <w:rPr>
          <w:bCs/>
        </w:rPr>
        <w:t>За даними Державної митної служби України, двосторонній товарообіг між Україною і Танзанією у 2024 році склав 11,11 млн.дол. США</w:t>
      </w:r>
      <w:r>
        <w:rPr>
          <w:bCs/>
        </w:rPr>
        <w:t>.</w:t>
      </w:r>
    </w:p>
    <w:p w14:paraId="23D39405" w14:textId="77777777" w:rsidR="000D4E18" w:rsidRPr="000D4E18" w:rsidRDefault="000D4E18" w:rsidP="000D4E18">
      <w:pPr>
        <w:rPr>
          <w:bCs/>
        </w:rPr>
      </w:pPr>
      <w:r w:rsidRPr="000D4E18">
        <w:rPr>
          <w:bCs/>
        </w:rPr>
        <w:t>Експорт з України до Танзанії у 2024 р. склав 5,69 млн дол. США (зростання на 526% порівняно з 2023 р. – 1,08 млн. дол. США ), імпорт – 5,42 млн дол. США (зростання на 136% порівняно з 2023 р. – 3,97 млн. дол. США), позитивне для України сальдо – 0,27 млн дол. США.</w:t>
      </w:r>
    </w:p>
    <w:p w14:paraId="1501A0E7" w14:textId="2FF723D7" w:rsidR="00F30079" w:rsidRPr="00F30079" w:rsidRDefault="000D4E18" w:rsidP="000D4E18">
      <w:pPr>
        <w:rPr>
          <w:bCs/>
        </w:rPr>
      </w:pPr>
      <w:r w:rsidRPr="000D4E18">
        <w:rPr>
          <w:bCs/>
        </w:rPr>
        <w:t>З України до Танзанії експортувалися олія соняшникова (4,20 млн.дол. США або 73,81% експорту), маргарин (116 тис. дол. США або 2,1% експорту), інші харчові продукти (360 тис. дол. США або 6,5% експорту),. Основними статтями імпорту з Танзанії в Україну були тропічні фрукти (1,27 млн дол. США або 23,4% імпорту), тютюнова сировина і відходи (2,01 млн. дол. США – 37% імпорту), кава (1,24 млн. дол. США або 22,8% імпорту), риба та рибопродукти (60 тис. дол. США – 1,1% імпорту).</w:t>
      </w:r>
    </w:p>
    <w:p w14:paraId="7A868492" w14:textId="77777777" w:rsidR="00F30079" w:rsidRPr="00F30079" w:rsidRDefault="00F30079" w:rsidP="00F30079">
      <w:pPr>
        <w:rPr>
          <w:bCs/>
        </w:rPr>
      </w:pPr>
    </w:p>
    <w:p w14:paraId="1598E042" w14:textId="4C8DCF93" w:rsidR="00F30079" w:rsidRPr="005A579F" w:rsidRDefault="00F30079" w:rsidP="003C6DF3">
      <w:pPr>
        <w:spacing w:after="0" w:line="259" w:lineRule="auto"/>
        <w:ind w:left="14" w:right="58" w:firstLine="720"/>
        <w:jc w:val="center"/>
        <w:rPr>
          <w:b/>
        </w:rPr>
      </w:pPr>
      <w:r w:rsidRPr="005A579F">
        <w:rPr>
          <w:b/>
        </w:rPr>
        <w:t>Перспективи розвитку експорту української</w:t>
      </w:r>
    </w:p>
    <w:p w14:paraId="24E00A56" w14:textId="107E4631" w:rsidR="00F30079" w:rsidRPr="005A579F" w:rsidRDefault="00F30079" w:rsidP="005A579F">
      <w:pPr>
        <w:jc w:val="center"/>
        <w:rPr>
          <w:b/>
        </w:rPr>
      </w:pPr>
      <w:r w:rsidRPr="005A579F">
        <w:rPr>
          <w:b/>
        </w:rPr>
        <w:t xml:space="preserve">сільськогосподарської продукції до </w:t>
      </w:r>
      <w:r w:rsidR="005A579F">
        <w:rPr>
          <w:b/>
        </w:rPr>
        <w:t>Танзанії</w:t>
      </w:r>
    </w:p>
    <w:p w14:paraId="41F94E39" w14:textId="77777777" w:rsidR="00F30079" w:rsidRPr="00F30079" w:rsidRDefault="00F30079" w:rsidP="003C6DF3">
      <w:pPr>
        <w:spacing w:line="240" w:lineRule="auto"/>
        <w:rPr>
          <w:bCs/>
        </w:rPr>
      </w:pPr>
    </w:p>
    <w:p w14:paraId="143AB767" w14:textId="33F53940" w:rsidR="00F30079" w:rsidRPr="00292BED" w:rsidRDefault="00F30079" w:rsidP="003C6DF3">
      <w:pPr>
        <w:spacing w:line="240" w:lineRule="auto"/>
        <w:rPr>
          <w:rFonts w:asciiTheme="minorHAnsi" w:hAnsiTheme="minorHAnsi"/>
          <w:bCs/>
        </w:rPr>
      </w:pPr>
      <w:r w:rsidRPr="00F30079">
        <w:rPr>
          <w:bCs/>
        </w:rPr>
        <w:t xml:space="preserve">Потенційно </w:t>
      </w:r>
      <w:r w:rsidR="001F34B6">
        <w:rPr>
          <w:bCs/>
        </w:rPr>
        <w:t>Танзанія</w:t>
      </w:r>
      <w:r w:rsidRPr="00F30079">
        <w:rPr>
          <w:bCs/>
        </w:rPr>
        <w:t xml:space="preserve"> зацікавлена в </w:t>
      </w:r>
      <w:r w:rsidR="00392CFB">
        <w:rPr>
          <w:bCs/>
        </w:rPr>
        <w:t>імпорті</w:t>
      </w:r>
      <w:r w:rsidRPr="00F30079">
        <w:rPr>
          <w:bCs/>
        </w:rPr>
        <w:t xml:space="preserve"> з України пшениц</w:t>
      </w:r>
      <w:r w:rsidR="005A579F">
        <w:rPr>
          <w:bCs/>
        </w:rPr>
        <w:t>і</w:t>
      </w:r>
      <w:r w:rsidRPr="00F30079">
        <w:rPr>
          <w:bCs/>
        </w:rPr>
        <w:t xml:space="preserve">, олійних культур, неорганічних добрив, </w:t>
      </w:r>
      <w:r w:rsidR="00392CFB">
        <w:rPr>
          <w:bCs/>
        </w:rPr>
        <w:t xml:space="preserve">ветеринарної продукції, </w:t>
      </w:r>
      <w:r w:rsidRPr="00F30079">
        <w:rPr>
          <w:bCs/>
        </w:rPr>
        <w:t>а також сільськогосподарської техніки.</w:t>
      </w:r>
      <w:r w:rsidR="00292BED" w:rsidRPr="00292BED">
        <w:rPr>
          <w:rFonts w:asciiTheme="minorHAnsi" w:hAnsiTheme="minorHAnsi"/>
          <w:bCs/>
        </w:rPr>
        <w:t xml:space="preserve"> </w:t>
      </w:r>
      <w:r w:rsidR="00392CFB">
        <w:rPr>
          <w:rFonts w:asciiTheme="minorHAnsi" w:hAnsiTheme="minorHAnsi"/>
          <w:bCs/>
        </w:rPr>
        <w:t xml:space="preserve">При цьому </w:t>
      </w:r>
      <w:r w:rsidR="00292BED">
        <w:rPr>
          <w:rFonts w:asciiTheme="minorHAnsi" w:hAnsiTheme="minorHAnsi"/>
          <w:bCs/>
        </w:rPr>
        <w:t>Танзанія повністю забезпечує потребу у яйцях та м</w:t>
      </w:r>
      <w:r w:rsidR="00292BED" w:rsidRPr="00292BED">
        <w:rPr>
          <w:rFonts w:asciiTheme="minorHAnsi" w:hAnsiTheme="minorHAnsi"/>
          <w:bCs/>
        </w:rPr>
        <w:t>’</w:t>
      </w:r>
      <w:r w:rsidR="00292BED">
        <w:rPr>
          <w:rFonts w:asciiTheme="minorHAnsi" w:hAnsiTheme="minorHAnsi"/>
          <w:bCs/>
        </w:rPr>
        <w:t>ясній продукції за рахунок власного виробництва. М</w:t>
      </w:r>
      <w:r w:rsidR="00292BED" w:rsidRPr="00292BED">
        <w:rPr>
          <w:rFonts w:asciiTheme="minorHAnsi" w:hAnsiTheme="minorHAnsi"/>
          <w:bCs/>
        </w:rPr>
        <w:t>’ясн</w:t>
      </w:r>
      <w:r w:rsidR="00292BED">
        <w:rPr>
          <w:rFonts w:asciiTheme="minorHAnsi" w:hAnsiTheme="minorHAnsi"/>
          <w:bCs/>
        </w:rPr>
        <w:t>а</w:t>
      </w:r>
      <w:r w:rsidR="00292BED" w:rsidRPr="00292BED">
        <w:rPr>
          <w:rFonts w:asciiTheme="minorHAnsi" w:hAnsiTheme="minorHAnsi"/>
          <w:bCs/>
        </w:rPr>
        <w:t xml:space="preserve"> продукці</w:t>
      </w:r>
      <w:r w:rsidR="00292BED">
        <w:rPr>
          <w:rFonts w:asciiTheme="minorHAnsi" w:hAnsiTheme="minorHAnsi"/>
          <w:bCs/>
        </w:rPr>
        <w:t xml:space="preserve">я делікатесного сегменту </w:t>
      </w:r>
      <w:r w:rsidR="00392CFB">
        <w:rPr>
          <w:rFonts w:asciiTheme="minorHAnsi" w:hAnsiTheme="minorHAnsi"/>
          <w:bCs/>
        </w:rPr>
        <w:t>імпортується</w:t>
      </w:r>
      <w:r w:rsidR="00292BED">
        <w:rPr>
          <w:rFonts w:asciiTheme="minorHAnsi" w:hAnsiTheme="minorHAnsi"/>
          <w:bCs/>
        </w:rPr>
        <w:t xml:space="preserve"> у символічних значеннях для </w:t>
      </w:r>
      <w:r w:rsidR="00392CFB">
        <w:rPr>
          <w:rFonts w:asciiTheme="minorHAnsi" w:hAnsiTheme="minorHAnsi"/>
          <w:bCs/>
        </w:rPr>
        <w:t>забезпечення потреб споживачів категорії іноземців-експатів.</w:t>
      </w:r>
    </w:p>
    <w:p w14:paraId="4B0C0439" w14:textId="4254C013" w:rsidR="001F34B6" w:rsidRPr="001F34B6" w:rsidRDefault="005848F7" w:rsidP="003C6DF3">
      <w:pPr>
        <w:spacing w:line="240" w:lineRule="auto"/>
        <w:rPr>
          <w:bCs/>
        </w:rPr>
      </w:pPr>
      <w:r>
        <w:rPr>
          <w:bCs/>
        </w:rPr>
        <w:lastRenderedPageBreak/>
        <w:t xml:space="preserve">Відповідні </w:t>
      </w:r>
      <w:r w:rsidR="003C6DF3">
        <w:rPr>
          <w:bCs/>
        </w:rPr>
        <w:t>ризики</w:t>
      </w:r>
      <w:r>
        <w:rPr>
          <w:bCs/>
        </w:rPr>
        <w:t>/з</w:t>
      </w:r>
      <w:r w:rsidR="001F34B6" w:rsidRPr="001F34B6">
        <w:rPr>
          <w:bCs/>
        </w:rPr>
        <w:t>агрози:</w:t>
      </w:r>
    </w:p>
    <w:p w14:paraId="270AEB94" w14:textId="5AB4D0EE" w:rsidR="001F34B6" w:rsidRPr="001F34B6" w:rsidRDefault="005848F7" w:rsidP="001F34B6">
      <w:pPr>
        <w:rPr>
          <w:bCs/>
        </w:rPr>
      </w:pPr>
      <w:r w:rsidRPr="00292BED">
        <w:rPr>
          <w:bCs/>
          <w:i/>
          <w:iCs/>
          <w:u w:val="single"/>
        </w:rPr>
        <w:t>Пшениця.</w:t>
      </w:r>
      <w:r>
        <w:rPr>
          <w:bCs/>
        </w:rPr>
        <w:t xml:space="preserve"> </w:t>
      </w:r>
      <w:r w:rsidRPr="005848F7">
        <w:rPr>
          <w:bCs/>
        </w:rPr>
        <w:t xml:space="preserve">Домінування експортерів РФ на танзанійському ринку імпортованої пшениці нарощується з 2022 р, відколи, у зв’язку з початком повномасштабного вторгнення РФ в Україну, </w:t>
      </w:r>
      <w:r>
        <w:rPr>
          <w:bCs/>
        </w:rPr>
        <w:t>українські експортери пшениці втратили ринок у зв</w:t>
      </w:r>
      <w:r w:rsidRPr="005848F7">
        <w:rPr>
          <w:rFonts w:asciiTheme="minorHAnsi" w:hAnsiTheme="minorHAnsi"/>
          <w:bCs/>
        </w:rPr>
        <w:t>’</w:t>
      </w:r>
      <w:r>
        <w:rPr>
          <w:rFonts w:asciiTheme="minorHAnsi" w:hAnsiTheme="minorHAnsi"/>
          <w:bCs/>
        </w:rPr>
        <w:t xml:space="preserve">язку з логістичними труднощами. При цьому, як припускають експерти, російські експортери пшениці можуть практикувати </w:t>
      </w:r>
      <w:r w:rsidRPr="005848F7">
        <w:rPr>
          <w:bCs/>
        </w:rPr>
        <w:t>«нечесн</w:t>
      </w:r>
      <w:r>
        <w:rPr>
          <w:bCs/>
        </w:rPr>
        <w:t>і</w:t>
      </w:r>
      <w:r w:rsidRPr="005848F7">
        <w:rPr>
          <w:bCs/>
        </w:rPr>
        <w:t xml:space="preserve"> метод</w:t>
      </w:r>
      <w:r>
        <w:rPr>
          <w:bCs/>
        </w:rPr>
        <w:t>и</w:t>
      </w:r>
      <w:r w:rsidRPr="005848F7">
        <w:rPr>
          <w:bCs/>
        </w:rPr>
        <w:t>» (демпінг, можлива корупція для забезпечення лояльного митного режиму тощо). При цьому, танзанійська сторона заінтересована у диверсифікації імпорту цієї продукції, єдиними реальними критеріями привабливості якої (для танзанійської сторони)  є фактори ціни і якості.</w:t>
      </w:r>
    </w:p>
    <w:p w14:paraId="68FC63AE" w14:textId="708F15FD" w:rsidR="001F34B6" w:rsidRPr="001F34B6" w:rsidRDefault="005848F7" w:rsidP="00513DB9">
      <w:pPr>
        <w:spacing w:after="0" w:line="259" w:lineRule="auto"/>
        <w:ind w:left="14" w:right="58" w:firstLine="720"/>
        <w:rPr>
          <w:bCs/>
        </w:rPr>
      </w:pPr>
      <w:r w:rsidRPr="00292BED">
        <w:rPr>
          <w:bCs/>
          <w:i/>
          <w:iCs/>
          <w:u w:val="single"/>
        </w:rPr>
        <w:t>Соняшникова олія.</w:t>
      </w:r>
      <w:r>
        <w:rPr>
          <w:bCs/>
        </w:rPr>
        <w:t xml:space="preserve"> </w:t>
      </w:r>
      <w:r w:rsidR="001F34B6" w:rsidRPr="001F34B6">
        <w:rPr>
          <w:bCs/>
        </w:rPr>
        <w:t xml:space="preserve">Збільшення місцевого виробництва. Заявлена мета уряду Танзанії щодо поступового зменшення імпорту харчових рослинних олій, у т.ч. соняшникової (ймовірне підвищення імпортних тарифів, цільова підтримка дрібних фермерських господарств, виділення державних субсидій на закупівлю ними насіння та мінеральних добрив, розвиток іригаційної інфраструктури (що збільшуватиме площу оброблюваної землі), звільнення від сплати ПДВ при придбанні обладнання для переробки соняшникової олії), становить </w:t>
      </w:r>
      <w:r w:rsidR="001F34B6">
        <w:rPr>
          <w:bCs/>
        </w:rPr>
        <w:t xml:space="preserve">у перспективі </w:t>
      </w:r>
      <w:r w:rsidR="001F34B6" w:rsidRPr="001F34B6">
        <w:rPr>
          <w:bCs/>
        </w:rPr>
        <w:t xml:space="preserve">загрозу для </w:t>
      </w:r>
      <w:r w:rsidR="001F34B6">
        <w:rPr>
          <w:bCs/>
        </w:rPr>
        <w:t>екс</w:t>
      </w:r>
      <w:r w:rsidR="001F34B6" w:rsidRPr="001F34B6">
        <w:rPr>
          <w:bCs/>
        </w:rPr>
        <w:t xml:space="preserve">портерів продукту. </w:t>
      </w:r>
    </w:p>
    <w:p w14:paraId="3588FF06" w14:textId="77777777" w:rsidR="001F34B6" w:rsidRPr="001F34B6" w:rsidRDefault="001F34B6" w:rsidP="001F34B6">
      <w:pPr>
        <w:rPr>
          <w:bCs/>
        </w:rPr>
      </w:pPr>
      <w:r w:rsidRPr="001F34B6">
        <w:rPr>
          <w:bCs/>
        </w:rPr>
        <w:t>Одним з прикладів, що знаменуватиме зазначені зміни на ринку стане запуск  олійноекстракційних заводів у м.Аруша та м.Додома здача в експлуатацію яких запланована до кінця 2025 р. - проєкти вартістю                                     30 млн.дол. США кожний реалізуються компанією «Mainland Group Agro Process Tanzania» (танзанійська «дочка» китайської агропромислової групи «Mainland Group») і орієнтуватимуться на переробку місцевої сировини, що стимулюватиме вирощування соняшника на території Танзанії.</w:t>
      </w:r>
    </w:p>
    <w:p w14:paraId="00FFC7C9" w14:textId="77777777" w:rsidR="005848F7" w:rsidRPr="001F34B6" w:rsidRDefault="005848F7" w:rsidP="00513DB9">
      <w:pPr>
        <w:spacing w:after="0" w:line="259" w:lineRule="auto"/>
        <w:ind w:left="14" w:right="58" w:firstLine="720"/>
        <w:rPr>
          <w:bCs/>
        </w:rPr>
      </w:pPr>
      <w:r w:rsidRPr="00292BED">
        <w:rPr>
          <w:bCs/>
          <w:u w:val="single"/>
        </w:rPr>
        <w:t>Висновок.</w:t>
      </w:r>
      <w:r w:rsidRPr="001F34B6">
        <w:rPr>
          <w:bCs/>
        </w:rPr>
        <w:t xml:space="preserve"> З урахуванням вищезазначених факторів і тенденцій слід констатувати, що у перспективі найближчих 5-6 років потенціал танзанійського ринку соняшникової олії поступово втрачатиме свою перспективність для іноземних експортерів цієї продукції. </w:t>
      </w:r>
    </w:p>
    <w:p w14:paraId="6FA013FA" w14:textId="77777777" w:rsidR="005848F7" w:rsidRPr="001F34B6" w:rsidRDefault="005848F7" w:rsidP="00513DB9">
      <w:pPr>
        <w:spacing w:after="0" w:line="259" w:lineRule="auto"/>
        <w:ind w:left="14" w:right="58" w:firstLine="720"/>
        <w:rPr>
          <w:bCs/>
        </w:rPr>
      </w:pPr>
      <w:r w:rsidRPr="001F34B6">
        <w:rPr>
          <w:bCs/>
        </w:rPr>
        <w:t xml:space="preserve">Натомість, дедалі актуальнішим, з точки зору «завоювання» місцевого ринку соняшникової олії є поки що існуючі можливості для довгострокових інвестицій у вирощування соняшника та його переробку (олія, шрот). </w:t>
      </w:r>
    </w:p>
    <w:p w14:paraId="6B2B533B" w14:textId="69E7B8DA" w:rsidR="005848F7" w:rsidRPr="001F34B6" w:rsidRDefault="005848F7" w:rsidP="00513DB9">
      <w:pPr>
        <w:spacing w:after="0" w:line="259" w:lineRule="auto"/>
        <w:ind w:left="14" w:right="58" w:firstLine="720"/>
        <w:rPr>
          <w:bCs/>
        </w:rPr>
      </w:pPr>
      <w:r w:rsidRPr="001F34B6">
        <w:rPr>
          <w:bCs/>
        </w:rPr>
        <w:t xml:space="preserve">Згідно з даними відкритих джерел, станом на поточний період в Танзанії під вирощування соняшника задіяно   5-6% (близько 880 тис. – 1,02 млн.га) від загальної площі оброблюваної землі (близько 17 млн.га). Усього, відповідно до наявних кадастрових оцінок, до загального масиву землі с/г призначення віднесено близько 40 млн. га. </w:t>
      </w:r>
    </w:p>
    <w:p w14:paraId="7824FC16" w14:textId="77777777" w:rsidR="005848F7" w:rsidRDefault="005848F7" w:rsidP="005848F7">
      <w:pPr>
        <w:rPr>
          <w:bCs/>
        </w:rPr>
      </w:pPr>
      <w:r w:rsidRPr="001F34B6">
        <w:rPr>
          <w:bCs/>
        </w:rPr>
        <w:t>Згідно з даними Державної митної служби України, упродовж перших чотирьох місяців 2025 р. Україна експортувала до Танзанії 2734 т соняшникової олії.</w:t>
      </w:r>
    </w:p>
    <w:p w14:paraId="68651CB8" w14:textId="3C4B7BD4" w:rsidR="001F34B6" w:rsidRPr="001F34B6" w:rsidRDefault="001F34B6" w:rsidP="001F34B6">
      <w:pPr>
        <w:rPr>
          <w:bCs/>
        </w:rPr>
      </w:pPr>
      <w:r w:rsidRPr="005848F7">
        <w:rPr>
          <w:bCs/>
          <w:i/>
          <w:iCs/>
        </w:rPr>
        <w:t>Логістичні загрози.</w:t>
      </w:r>
      <w:r w:rsidRPr="001F34B6">
        <w:rPr>
          <w:bCs/>
        </w:rPr>
        <w:t xml:space="preserve"> Триваюча широкомасштабна агресія РФ проти України та періодична безпекова нестабільність в Аденській Затоці  є головними загрозами для логістики експорту української  агропродукції на Південь Африки, у т.ч. Танзанію як на етапі прийняття рішень імпортерами продукції, так і на етапі реалізації вже законтрактованої продукції. </w:t>
      </w:r>
    </w:p>
    <w:p w14:paraId="03CE82F7" w14:textId="77777777" w:rsidR="00F30079" w:rsidRPr="0075642C" w:rsidRDefault="00F30079" w:rsidP="003C6DF3">
      <w:pPr>
        <w:spacing w:after="0" w:line="259" w:lineRule="auto"/>
        <w:ind w:left="14" w:right="58" w:firstLine="720"/>
        <w:jc w:val="center"/>
        <w:rPr>
          <w:b/>
        </w:rPr>
      </w:pPr>
      <w:r w:rsidRPr="0075642C">
        <w:rPr>
          <w:b/>
        </w:rPr>
        <w:lastRenderedPageBreak/>
        <w:t>Перспективи співпраці між Україною та</w:t>
      </w:r>
    </w:p>
    <w:p w14:paraId="3D235782" w14:textId="3012C491" w:rsidR="00F30079" w:rsidRPr="0075642C" w:rsidRDefault="00392CFB" w:rsidP="0075642C">
      <w:pPr>
        <w:jc w:val="center"/>
        <w:rPr>
          <w:b/>
        </w:rPr>
      </w:pPr>
      <w:r w:rsidRPr="0075642C">
        <w:rPr>
          <w:b/>
        </w:rPr>
        <w:t xml:space="preserve">Танзанією </w:t>
      </w:r>
      <w:r w:rsidR="00F30079" w:rsidRPr="0075642C">
        <w:rPr>
          <w:b/>
        </w:rPr>
        <w:t>у сфері продовольчої безпеки</w:t>
      </w:r>
    </w:p>
    <w:p w14:paraId="0113A076" w14:textId="465F701D" w:rsidR="00BD0D37" w:rsidRDefault="00BD0D37" w:rsidP="00392CFB">
      <w:pPr>
        <w:rPr>
          <w:bCs/>
        </w:rPr>
      </w:pPr>
      <w:r w:rsidRPr="00392CFB">
        <w:rPr>
          <w:bCs/>
        </w:rPr>
        <w:t>Танзанія, в цілому, досягла продовольчої самодостатності, зокрема, у виробництві рису та кукурудзи (124% та 110% відповідно до потреб місцевого ринку)</w:t>
      </w:r>
      <w:r w:rsidR="003C6DF3">
        <w:rPr>
          <w:bCs/>
        </w:rPr>
        <w:t xml:space="preserve">, які </w:t>
      </w:r>
      <w:r w:rsidRPr="00392CFB">
        <w:rPr>
          <w:bCs/>
        </w:rPr>
        <w:t>є основними продуктами харчування групи зернових для абсолютної більшості населення</w:t>
      </w:r>
      <w:r>
        <w:rPr>
          <w:bCs/>
        </w:rPr>
        <w:t xml:space="preserve">. </w:t>
      </w:r>
      <w:r w:rsidR="0075642C">
        <w:rPr>
          <w:bCs/>
        </w:rPr>
        <w:t>Уряд країни не закуповує та не має наміру імпортувати агропродукцію в гуманітарних цілях.</w:t>
      </w:r>
    </w:p>
    <w:p w14:paraId="50DAB488" w14:textId="0973B038" w:rsidR="00BD0D37" w:rsidRDefault="00392CFB" w:rsidP="00392CFB">
      <w:pPr>
        <w:rPr>
          <w:bCs/>
        </w:rPr>
      </w:pPr>
      <w:r>
        <w:rPr>
          <w:bCs/>
        </w:rPr>
        <w:t>У грудні 2024 р. та березні 2025 р. відбулися г</w:t>
      </w:r>
      <w:r w:rsidRPr="00392CFB">
        <w:rPr>
          <w:bCs/>
        </w:rPr>
        <w:t>уманітарні поставки с/г продукції українського виробництва (гороху та соняшникової олії) в Танзанію в рамках програми «</w:t>
      </w:r>
      <w:r w:rsidRPr="00392CFB">
        <w:rPr>
          <w:bCs/>
          <w:lang w:val="en-US"/>
        </w:rPr>
        <w:t>Food</w:t>
      </w:r>
      <w:r w:rsidRPr="00392CFB">
        <w:rPr>
          <w:bCs/>
        </w:rPr>
        <w:t xml:space="preserve"> </w:t>
      </w:r>
      <w:r w:rsidRPr="00392CFB">
        <w:rPr>
          <w:bCs/>
          <w:lang w:val="en-US"/>
        </w:rPr>
        <w:t>from</w:t>
      </w:r>
      <w:r w:rsidRPr="00392CFB">
        <w:rPr>
          <w:bCs/>
        </w:rPr>
        <w:t xml:space="preserve"> </w:t>
      </w:r>
      <w:r w:rsidRPr="00392CFB">
        <w:rPr>
          <w:bCs/>
          <w:lang w:val="en-US"/>
        </w:rPr>
        <w:t>Ukraine</w:t>
      </w:r>
      <w:r w:rsidRPr="00392CFB">
        <w:rPr>
          <w:bCs/>
        </w:rPr>
        <w:t xml:space="preserve">» (спонсором поставки був уряд Південної </w:t>
      </w:r>
      <w:r w:rsidR="00BD0D37" w:rsidRPr="00392CFB">
        <w:rPr>
          <w:bCs/>
        </w:rPr>
        <w:t>Кореї</w:t>
      </w:r>
      <w:r w:rsidRPr="00392CFB">
        <w:rPr>
          <w:bCs/>
        </w:rPr>
        <w:t xml:space="preserve">). </w:t>
      </w:r>
      <w:r w:rsidR="00BD0D37">
        <w:rPr>
          <w:bCs/>
        </w:rPr>
        <w:t xml:space="preserve">Зазначена продукція, отримувачем якої було відділення </w:t>
      </w:r>
      <w:bookmarkStart w:id="0" w:name="_Hlk210128851"/>
      <w:r w:rsidR="00BD0D37">
        <w:rPr>
          <w:rFonts w:asciiTheme="minorHAnsi" w:hAnsiTheme="minorHAnsi"/>
          <w:bCs/>
          <w:lang w:val="en-US"/>
        </w:rPr>
        <w:t>WFP</w:t>
      </w:r>
      <w:bookmarkEnd w:id="0"/>
      <w:r w:rsidR="00BD0D37" w:rsidRPr="00BD0D37">
        <w:rPr>
          <w:rFonts w:asciiTheme="minorHAnsi" w:hAnsiTheme="minorHAnsi"/>
          <w:bCs/>
        </w:rPr>
        <w:t xml:space="preserve"> </w:t>
      </w:r>
      <w:r w:rsidR="00BD0D37">
        <w:rPr>
          <w:rFonts w:asciiTheme="minorHAnsi" w:hAnsiTheme="minorHAnsi"/>
          <w:bCs/>
        </w:rPr>
        <w:t xml:space="preserve">в Танзанії, </w:t>
      </w:r>
      <w:r w:rsidR="00BD0D37">
        <w:rPr>
          <w:bCs/>
        </w:rPr>
        <w:t xml:space="preserve"> була передана виключно для потреб </w:t>
      </w:r>
      <w:r w:rsidRPr="00392CFB">
        <w:rPr>
          <w:bCs/>
        </w:rPr>
        <w:t>біженці</w:t>
      </w:r>
      <w:r w:rsidR="00BD0D37">
        <w:rPr>
          <w:bCs/>
        </w:rPr>
        <w:t>в</w:t>
      </w:r>
      <w:r w:rsidRPr="00392CFB">
        <w:rPr>
          <w:bCs/>
        </w:rPr>
        <w:t xml:space="preserve"> – громадян третіх країн (ДР Конго та Республіки Бурунді), зосереджен</w:t>
      </w:r>
      <w:r w:rsidR="00BD0D37">
        <w:rPr>
          <w:bCs/>
        </w:rPr>
        <w:t xml:space="preserve">их </w:t>
      </w:r>
      <w:r w:rsidRPr="00392CFB">
        <w:rPr>
          <w:bCs/>
        </w:rPr>
        <w:t>у табор</w:t>
      </w:r>
      <w:r w:rsidR="00BD0D37">
        <w:rPr>
          <w:bCs/>
        </w:rPr>
        <w:t>ах</w:t>
      </w:r>
      <w:r w:rsidRPr="00392CFB">
        <w:rPr>
          <w:bCs/>
        </w:rPr>
        <w:t xml:space="preserve"> поблизу м.Кігома (захід Танзанії)</w:t>
      </w:r>
      <w:r w:rsidR="00BD0D37">
        <w:rPr>
          <w:bCs/>
        </w:rPr>
        <w:t xml:space="preserve"> під егідою </w:t>
      </w:r>
      <w:r w:rsidR="00BD0D37">
        <w:rPr>
          <w:rFonts w:asciiTheme="minorHAnsi" w:hAnsiTheme="minorHAnsi"/>
          <w:bCs/>
          <w:lang w:val="ru-RU"/>
        </w:rPr>
        <w:t>Управління Верховного комісара ООН у справах біженців</w:t>
      </w:r>
      <w:r w:rsidR="00BD0D37">
        <w:rPr>
          <w:bCs/>
          <w:lang w:val="ru-RU"/>
        </w:rPr>
        <w:t xml:space="preserve"> (їх </w:t>
      </w:r>
      <w:r w:rsidRPr="00392CFB">
        <w:rPr>
          <w:bCs/>
        </w:rPr>
        <w:t xml:space="preserve">загальна кількість </w:t>
      </w:r>
      <w:r w:rsidR="00BD0D37">
        <w:rPr>
          <w:bCs/>
        </w:rPr>
        <w:t xml:space="preserve"> - </w:t>
      </w:r>
      <w:r w:rsidRPr="00392CFB">
        <w:rPr>
          <w:bCs/>
        </w:rPr>
        <w:t>близько 90 тис. осіб</w:t>
      </w:r>
      <w:r w:rsidR="00BD0D37">
        <w:rPr>
          <w:bCs/>
        </w:rPr>
        <w:t>)</w:t>
      </w:r>
      <w:r w:rsidRPr="00392CFB">
        <w:rPr>
          <w:bCs/>
        </w:rPr>
        <w:t>.</w:t>
      </w:r>
    </w:p>
    <w:p w14:paraId="253A34CD" w14:textId="1DF8BE88" w:rsidR="000E0883" w:rsidRPr="005A7FA7" w:rsidRDefault="00513DB9" w:rsidP="005A7FA7">
      <w:pPr>
        <w:rPr>
          <w:bCs/>
        </w:rPr>
      </w:pPr>
      <w:r>
        <w:rPr>
          <w:bCs/>
        </w:rPr>
        <w:t>Рішення про п</w:t>
      </w:r>
      <w:r w:rsidR="00BD0D37">
        <w:rPr>
          <w:bCs/>
        </w:rPr>
        <w:t xml:space="preserve">одальші </w:t>
      </w:r>
      <w:r w:rsidR="00392CFB" w:rsidRPr="00392CFB">
        <w:rPr>
          <w:bCs/>
        </w:rPr>
        <w:t>постав</w:t>
      </w:r>
      <w:r>
        <w:rPr>
          <w:bCs/>
        </w:rPr>
        <w:t>ки</w:t>
      </w:r>
      <w:r w:rsidR="00392CFB" w:rsidRPr="00392CFB">
        <w:rPr>
          <w:bCs/>
        </w:rPr>
        <w:t xml:space="preserve"> української с/г продукції в Танзанію для забезпечення зазначених гуманітарних потреб мож</w:t>
      </w:r>
      <w:r w:rsidR="0075642C">
        <w:rPr>
          <w:bCs/>
        </w:rPr>
        <w:t xml:space="preserve">уть </w:t>
      </w:r>
      <w:r w:rsidR="00392CFB" w:rsidRPr="00392CFB">
        <w:rPr>
          <w:bCs/>
        </w:rPr>
        <w:t>бути прийнят</w:t>
      </w:r>
      <w:r w:rsidR="0075642C">
        <w:rPr>
          <w:bCs/>
        </w:rPr>
        <w:t>і</w:t>
      </w:r>
      <w:r w:rsidR="00392CFB" w:rsidRPr="00392CFB">
        <w:rPr>
          <w:bCs/>
        </w:rPr>
        <w:t xml:space="preserve"> в рамках переговорів з Генеральним директоратом ЄК з питань гуманітарної допомоги та цивільного захисту населення (DG ECHO)</w:t>
      </w:r>
      <w:r w:rsidR="0075642C">
        <w:rPr>
          <w:bCs/>
        </w:rPr>
        <w:t xml:space="preserve"> або </w:t>
      </w:r>
      <w:r w:rsidR="0075642C" w:rsidRPr="0075642C">
        <w:rPr>
          <w:bCs/>
        </w:rPr>
        <w:t>WFP</w:t>
      </w:r>
      <w:r w:rsidR="00392CFB" w:rsidRPr="00392CFB">
        <w:rPr>
          <w:bCs/>
        </w:rPr>
        <w:t>.</w:t>
      </w:r>
    </w:p>
    <w:sectPr w:rsidR="000E0883" w:rsidRPr="005A7FA7" w:rsidSect="005A7FA7">
      <w:headerReference w:type="even" r:id="rId12"/>
      <w:headerReference w:type="default" r:id="rId13"/>
      <w:headerReference w:type="first" r:id="rId14"/>
      <w:pgSz w:w="11906" w:h="16838"/>
      <w:pgMar w:top="1134" w:right="85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B5476" w14:textId="77777777" w:rsidR="00DE56DB" w:rsidRDefault="00DE56DB">
      <w:pPr>
        <w:spacing w:after="0" w:line="240" w:lineRule="auto"/>
      </w:pPr>
      <w:r>
        <w:separator/>
      </w:r>
    </w:p>
  </w:endnote>
  <w:endnote w:type="continuationSeparator" w:id="0">
    <w:p w14:paraId="6D4F9902" w14:textId="77777777" w:rsidR="00DE56DB" w:rsidRDefault="00DE5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snova MFA Cyrillic">
    <w:altName w:val="Times New Roman"/>
    <w:charset w:val="CC"/>
    <w:family w:val="auto"/>
    <w:pitch w:val="variable"/>
    <w:sig w:usb0="80000203" w:usb1="0000000A" w:usb2="00000000" w:usb3="00000000" w:csb0="00000004"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6D138" w14:textId="77777777" w:rsidR="00DE56DB" w:rsidRDefault="00DE56DB">
      <w:pPr>
        <w:spacing w:after="0" w:line="240" w:lineRule="auto"/>
      </w:pPr>
      <w:r>
        <w:separator/>
      </w:r>
    </w:p>
  </w:footnote>
  <w:footnote w:type="continuationSeparator" w:id="0">
    <w:p w14:paraId="72180BD6" w14:textId="77777777" w:rsidR="00DE56DB" w:rsidRDefault="00DE56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D7A21" w14:textId="77777777" w:rsidR="000E0883" w:rsidRDefault="00E25376">
    <w:pPr>
      <w:spacing w:after="0" w:line="259" w:lineRule="auto"/>
      <w:ind w:left="0" w:right="47" w:firstLine="0"/>
      <w:jc w:val="center"/>
    </w:pPr>
    <w:r>
      <w:fldChar w:fldCharType="begin"/>
    </w:r>
    <w:r>
      <w:instrText xml:space="preserve"> PAGE   \* MERGEFORMAT </w:instrText>
    </w:r>
    <w:r>
      <w:fldChar w:fldCharType="separate"/>
    </w:r>
    <w:r>
      <w:rPr>
        <w:rFonts w:ascii="Arial" w:eastAsia="Arial" w:hAnsi="Arial" w:cs="Arial"/>
        <w:sz w:val="22"/>
      </w:rPr>
      <w:t>2</w:t>
    </w:r>
    <w:r>
      <w:rPr>
        <w:rFonts w:ascii="Arial" w:eastAsia="Arial" w:hAnsi="Arial" w:cs="Arial"/>
        <w:sz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759453"/>
      <w:docPartObj>
        <w:docPartGallery w:val="Page Numbers (Top of Page)"/>
        <w:docPartUnique/>
      </w:docPartObj>
    </w:sdtPr>
    <w:sdtEndPr/>
    <w:sdtContent>
      <w:p w14:paraId="6F240DC0" w14:textId="2C7B1D6D" w:rsidR="00AA6A6E" w:rsidRDefault="00AA6A6E">
        <w:pPr>
          <w:pStyle w:val="a8"/>
          <w:jc w:val="center"/>
        </w:pPr>
        <w:r>
          <w:fldChar w:fldCharType="begin"/>
        </w:r>
        <w:r>
          <w:instrText>PAGE   \* MERGEFORMAT</w:instrText>
        </w:r>
        <w:r>
          <w:fldChar w:fldCharType="separate"/>
        </w:r>
        <w:r>
          <w:t>2</w:t>
        </w:r>
        <w:r>
          <w:fldChar w:fldCharType="end"/>
        </w:r>
      </w:p>
    </w:sdtContent>
  </w:sdt>
  <w:p w14:paraId="622059BD" w14:textId="6464191B" w:rsidR="000E0883" w:rsidRPr="00416649" w:rsidRDefault="000E0883" w:rsidP="00416649">
    <w:pPr>
      <w:spacing w:after="0" w:line="259" w:lineRule="auto"/>
      <w:ind w:left="0" w:right="47" w:firstLine="0"/>
      <w:jc w:val="righ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CDA11" w14:textId="77777777" w:rsidR="000E0883" w:rsidRDefault="000E0883">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76DEA"/>
    <w:multiLevelType w:val="hybridMultilevel"/>
    <w:tmpl w:val="D700929E"/>
    <w:lvl w:ilvl="0" w:tplc="26A05504">
      <w:start w:val="1"/>
      <w:numFmt w:val="decimal"/>
      <w:lvlText w:val="%1."/>
      <w:lvlJc w:val="left"/>
      <w:pPr>
        <w:ind w:left="866"/>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lvl w:ilvl="1" w:tplc="E4ECD934">
      <w:start w:val="1"/>
      <w:numFmt w:val="lowerLetter"/>
      <w:lvlText w:val="%2"/>
      <w:lvlJc w:val="left"/>
      <w:pPr>
        <w:ind w:left="1425"/>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lvl w:ilvl="2" w:tplc="2018B414">
      <w:start w:val="1"/>
      <w:numFmt w:val="lowerRoman"/>
      <w:lvlText w:val="%3"/>
      <w:lvlJc w:val="left"/>
      <w:pPr>
        <w:ind w:left="2145"/>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lvl w:ilvl="3" w:tplc="E546544A">
      <w:start w:val="1"/>
      <w:numFmt w:val="decimal"/>
      <w:lvlText w:val="%4"/>
      <w:lvlJc w:val="left"/>
      <w:pPr>
        <w:ind w:left="2865"/>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lvl w:ilvl="4" w:tplc="F3C0C6A4">
      <w:start w:val="1"/>
      <w:numFmt w:val="lowerLetter"/>
      <w:lvlText w:val="%5"/>
      <w:lvlJc w:val="left"/>
      <w:pPr>
        <w:ind w:left="3585"/>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lvl w:ilvl="5" w:tplc="3B8CFC80">
      <w:start w:val="1"/>
      <w:numFmt w:val="lowerRoman"/>
      <w:lvlText w:val="%6"/>
      <w:lvlJc w:val="left"/>
      <w:pPr>
        <w:ind w:left="4305"/>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lvl w:ilvl="6" w:tplc="86AAA68C">
      <w:start w:val="1"/>
      <w:numFmt w:val="decimal"/>
      <w:lvlText w:val="%7"/>
      <w:lvlJc w:val="left"/>
      <w:pPr>
        <w:ind w:left="5025"/>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lvl w:ilvl="7" w:tplc="E3723122">
      <w:start w:val="1"/>
      <w:numFmt w:val="lowerLetter"/>
      <w:lvlText w:val="%8"/>
      <w:lvlJc w:val="left"/>
      <w:pPr>
        <w:ind w:left="5745"/>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lvl w:ilvl="8" w:tplc="54D00894">
      <w:start w:val="1"/>
      <w:numFmt w:val="lowerRoman"/>
      <w:lvlText w:val="%9"/>
      <w:lvlJc w:val="left"/>
      <w:pPr>
        <w:ind w:left="6465"/>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9B00079"/>
    <w:multiLevelType w:val="hybridMultilevel"/>
    <w:tmpl w:val="658C1836"/>
    <w:lvl w:ilvl="0" w:tplc="81701B2A">
      <w:start w:val="1"/>
      <w:numFmt w:val="bullet"/>
      <w:lvlText w:val="-"/>
      <w:lvlJc w:val="left"/>
      <w:pPr>
        <w:ind w:left="0"/>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lvl w:ilvl="1" w:tplc="81FE9452">
      <w:start w:val="1"/>
      <w:numFmt w:val="bullet"/>
      <w:lvlText w:val="o"/>
      <w:lvlJc w:val="left"/>
      <w:pPr>
        <w:ind w:left="1789"/>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lvl w:ilvl="2" w:tplc="79808EBA">
      <w:start w:val="1"/>
      <w:numFmt w:val="bullet"/>
      <w:lvlText w:val="▪"/>
      <w:lvlJc w:val="left"/>
      <w:pPr>
        <w:ind w:left="2509"/>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lvl w:ilvl="3" w:tplc="0C8EF98A">
      <w:start w:val="1"/>
      <w:numFmt w:val="bullet"/>
      <w:lvlText w:val="•"/>
      <w:lvlJc w:val="left"/>
      <w:pPr>
        <w:ind w:left="3229"/>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lvl w:ilvl="4" w:tplc="B58C4A70">
      <w:start w:val="1"/>
      <w:numFmt w:val="bullet"/>
      <w:lvlText w:val="o"/>
      <w:lvlJc w:val="left"/>
      <w:pPr>
        <w:ind w:left="3949"/>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lvl w:ilvl="5" w:tplc="FE8247AC">
      <w:start w:val="1"/>
      <w:numFmt w:val="bullet"/>
      <w:lvlText w:val="▪"/>
      <w:lvlJc w:val="left"/>
      <w:pPr>
        <w:ind w:left="4669"/>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lvl w:ilvl="6" w:tplc="00AE91A6">
      <w:start w:val="1"/>
      <w:numFmt w:val="bullet"/>
      <w:lvlText w:val="•"/>
      <w:lvlJc w:val="left"/>
      <w:pPr>
        <w:ind w:left="5389"/>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lvl w:ilvl="7" w:tplc="F62C940C">
      <w:start w:val="1"/>
      <w:numFmt w:val="bullet"/>
      <w:lvlText w:val="o"/>
      <w:lvlJc w:val="left"/>
      <w:pPr>
        <w:ind w:left="6109"/>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lvl w:ilvl="8" w:tplc="04D0239E">
      <w:start w:val="1"/>
      <w:numFmt w:val="bullet"/>
      <w:lvlText w:val="▪"/>
      <w:lvlJc w:val="left"/>
      <w:pPr>
        <w:ind w:left="6829"/>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2E46C6C"/>
    <w:multiLevelType w:val="hybridMultilevel"/>
    <w:tmpl w:val="7BFE3AD2"/>
    <w:lvl w:ilvl="0" w:tplc="DF822A80">
      <w:start w:val="1"/>
      <w:numFmt w:val="decimal"/>
      <w:lvlText w:val="%1."/>
      <w:lvlJc w:val="left"/>
      <w:pPr>
        <w:ind w:left="735"/>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lvl w:ilvl="1" w:tplc="EEB8A568">
      <w:start w:val="1"/>
      <w:numFmt w:val="lowerLetter"/>
      <w:lvlText w:val="%2"/>
      <w:lvlJc w:val="left"/>
      <w:pPr>
        <w:ind w:left="1443"/>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lvl w:ilvl="2" w:tplc="018E0228">
      <w:start w:val="1"/>
      <w:numFmt w:val="lowerRoman"/>
      <w:lvlText w:val="%3"/>
      <w:lvlJc w:val="left"/>
      <w:pPr>
        <w:ind w:left="2163"/>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lvl w:ilvl="3" w:tplc="FFFAA5CA">
      <w:start w:val="1"/>
      <w:numFmt w:val="decimal"/>
      <w:lvlText w:val="%4"/>
      <w:lvlJc w:val="left"/>
      <w:pPr>
        <w:ind w:left="2883"/>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lvl w:ilvl="4" w:tplc="A7481C50">
      <w:start w:val="1"/>
      <w:numFmt w:val="lowerLetter"/>
      <w:lvlText w:val="%5"/>
      <w:lvlJc w:val="left"/>
      <w:pPr>
        <w:ind w:left="3603"/>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lvl w:ilvl="5" w:tplc="83E680BE">
      <w:start w:val="1"/>
      <w:numFmt w:val="lowerRoman"/>
      <w:lvlText w:val="%6"/>
      <w:lvlJc w:val="left"/>
      <w:pPr>
        <w:ind w:left="4323"/>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lvl w:ilvl="6" w:tplc="5F8CDBBC">
      <w:start w:val="1"/>
      <w:numFmt w:val="decimal"/>
      <w:lvlText w:val="%7"/>
      <w:lvlJc w:val="left"/>
      <w:pPr>
        <w:ind w:left="5043"/>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lvl w:ilvl="7" w:tplc="7794E5FE">
      <w:start w:val="1"/>
      <w:numFmt w:val="lowerLetter"/>
      <w:lvlText w:val="%8"/>
      <w:lvlJc w:val="left"/>
      <w:pPr>
        <w:ind w:left="5763"/>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lvl w:ilvl="8" w:tplc="EDC8B9E4">
      <w:start w:val="1"/>
      <w:numFmt w:val="lowerRoman"/>
      <w:lvlText w:val="%9"/>
      <w:lvlJc w:val="left"/>
      <w:pPr>
        <w:ind w:left="6483"/>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abstractNum>
  <w:num w:numId="1" w16cid:durableId="490290900">
    <w:abstractNumId w:val="0"/>
  </w:num>
  <w:num w:numId="2" w16cid:durableId="1077094631">
    <w:abstractNumId w:val="2"/>
  </w:num>
  <w:num w:numId="3" w16cid:durableId="1502772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883"/>
    <w:rsid w:val="00072858"/>
    <w:rsid w:val="000B6294"/>
    <w:rsid w:val="000D4E18"/>
    <w:rsid w:val="000E0883"/>
    <w:rsid w:val="001F34B6"/>
    <w:rsid w:val="001F418C"/>
    <w:rsid w:val="00292BED"/>
    <w:rsid w:val="00295921"/>
    <w:rsid w:val="002B5082"/>
    <w:rsid w:val="002C49F1"/>
    <w:rsid w:val="003100DE"/>
    <w:rsid w:val="00324B15"/>
    <w:rsid w:val="00392CFB"/>
    <w:rsid w:val="00395165"/>
    <w:rsid w:val="003A0FC6"/>
    <w:rsid w:val="003C6DF3"/>
    <w:rsid w:val="004125CE"/>
    <w:rsid w:val="00416649"/>
    <w:rsid w:val="004A1B47"/>
    <w:rsid w:val="005117B4"/>
    <w:rsid w:val="00513DB9"/>
    <w:rsid w:val="00525917"/>
    <w:rsid w:val="00553A2B"/>
    <w:rsid w:val="005848F7"/>
    <w:rsid w:val="005A579F"/>
    <w:rsid w:val="005A7FA7"/>
    <w:rsid w:val="005B30BB"/>
    <w:rsid w:val="005D16C3"/>
    <w:rsid w:val="006313AE"/>
    <w:rsid w:val="0063405A"/>
    <w:rsid w:val="00651285"/>
    <w:rsid w:val="00664DF2"/>
    <w:rsid w:val="006919BF"/>
    <w:rsid w:val="006D4DF9"/>
    <w:rsid w:val="00726EA0"/>
    <w:rsid w:val="007410C3"/>
    <w:rsid w:val="0075642C"/>
    <w:rsid w:val="00781490"/>
    <w:rsid w:val="007C2079"/>
    <w:rsid w:val="0082182B"/>
    <w:rsid w:val="00835B02"/>
    <w:rsid w:val="008432D6"/>
    <w:rsid w:val="0088316E"/>
    <w:rsid w:val="009B09FC"/>
    <w:rsid w:val="009E415F"/>
    <w:rsid w:val="009E7929"/>
    <w:rsid w:val="00A67AB9"/>
    <w:rsid w:val="00A82E18"/>
    <w:rsid w:val="00AA6A6E"/>
    <w:rsid w:val="00AA7BCD"/>
    <w:rsid w:val="00AF4F55"/>
    <w:rsid w:val="00B11D93"/>
    <w:rsid w:val="00B276D9"/>
    <w:rsid w:val="00BB213E"/>
    <w:rsid w:val="00BB51FD"/>
    <w:rsid w:val="00BD0D37"/>
    <w:rsid w:val="00BE276E"/>
    <w:rsid w:val="00C2604D"/>
    <w:rsid w:val="00C44722"/>
    <w:rsid w:val="00C605C9"/>
    <w:rsid w:val="00C62F58"/>
    <w:rsid w:val="00D04D55"/>
    <w:rsid w:val="00D40841"/>
    <w:rsid w:val="00D67D9C"/>
    <w:rsid w:val="00D85152"/>
    <w:rsid w:val="00DA1D2C"/>
    <w:rsid w:val="00DD218D"/>
    <w:rsid w:val="00DE56DB"/>
    <w:rsid w:val="00DF16E2"/>
    <w:rsid w:val="00E22B51"/>
    <w:rsid w:val="00E25376"/>
    <w:rsid w:val="00EA3585"/>
    <w:rsid w:val="00EC4BE9"/>
    <w:rsid w:val="00EF4B9B"/>
    <w:rsid w:val="00F30079"/>
    <w:rsid w:val="00F55253"/>
    <w:rsid w:val="00F56262"/>
    <w:rsid w:val="00F72C68"/>
    <w:rsid w:val="00F914A9"/>
    <w:rsid w:val="00FB476F"/>
    <w:rsid w:val="00FC0C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9AC6C"/>
  <w15:docId w15:val="{5AFCCEF6-6E17-4003-A9A7-0F83BEFCA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uk-UA" w:eastAsia="uk-U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3" w:line="260" w:lineRule="auto"/>
      <w:ind w:left="15" w:right="63" w:firstLine="713"/>
      <w:jc w:val="both"/>
    </w:pPr>
    <w:rPr>
      <w:rFonts w:ascii="Osnova MFA Cyrillic" w:eastAsia="Osnova MFA Cyrillic" w:hAnsi="Osnova MFA Cyrillic" w:cs="Osnova MFA Cyrillic"/>
      <w:color w:val="000000"/>
    </w:rPr>
  </w:style>
  <w:style w:type="paragraph" w:styleId="1">
    <w:name w:val="heading 1"/>
    <w:next w:val="a"/>
    <w:link w:val="10"/>
    <w:uiPriority w:val="9"/>
    <w:qFormat/>
    <w:pPr>
      <w:keepNext/>
      <w:keepLines/>
      <w:spacing w:after="154" w:line="253" w:lineRule="auto"/>
      <w:ind w:left="10" w:right="47" w:hanging="10"/>
      <w:jc w:val="center"/>
      <w:outlineLvl w:val="0"/>
    </w:pPr>
    <w:rPr>
      <w:rFonts w:ascii="Osnova MFA Cyrillic" w:eastAsia="Osnova MFA Cyrillic" w:hAnsi="Osnova MFA Cyrillic" w:cs="Osnova MFA Cyrillic"/>
      <w:b/>
      <w:color w:val="000000"/>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Osnova MFA Cyrillic" w:eastAsia="Osnova MFA Cyrillic" w:hAnsi="Osnova MFA Cyrillic" w:cs="Osnova MFA Cyrillic"/>
      <w:b/>
      <w:color w:val="000000"/>
      <w:sz w:val="24"/>
      <w:u w:val="single" w:color="000000"/>
    </w:rPr>
  </w:style>
  <w:style w:type="paragraph" w:styleId="a3">
    <w:name w:val="Normal (Web)"/>
    <w:basedOn w:val="a"/>
    <w:uiPriority w:val="99"/>
    <w:semiHidden/>
    <w:unhideWhenUsed/>
    <w:rsid w:val="006313AE"/>
    <w:pPr>
      <w:spacing w:before="100" w:beforeAutospacing="1" w:after="100" w:afterAutospacing="1" w:line="240" w:lineRule="auto"/>
      <w:ind w:left="0" w:right="0" w:firstLine="0"/>
      <w:jc w:val="left"/>
    </w:pPr>
    <w:rPr>
      <w:rFonts w:ascii="Times New Roman" w:eastAsia="Times New Roman" w:hAnsi="Times New Roman" w:cs="Times New Roman"/>
      <w:color w:val="auto"/>
      <w:kern w:val="0"/>
      <w:lang w:val="en-US" w:eastAsia="en-US"/>
      <w14:ligatures w14:val="none"/>
    </w:rPr>
  </w:style>
  <w:style w:type="paragraph" w:styleId="a4">
    <w:name w:val="List Paragraph"/>
    <w:basedOn w:val="a"/>
    <w:uiPriority w:val="34"/>
    <w:qFormat/>
    <w:rsid w:val="00525917"/>
    <w:pPr>
      <w:ind w:left="720"/>
      <w:contextualSpacing/>
    </w:pPr>
  </w:style>
  <w:style w:type="paragraph" w:styleId="a5">
    <w:name w:val="footer"/>
    <w:basedOn w:val="a"/>
    <w:link w:val="a6"/>
    <w:uiPriority w:val="99"/>
    <w:unhideWhenUsed/>
    <w:rsid w:val="00416649"/>
    <w:pPr>
      <w:tabs>
        <w:tab w:val="center" w:pos="4819"/>
        <w:tab w:val="right" w:pos="9639"/>
      </w:tabs>
      <w:spacing w:after="0" w:line="240" w:lineRule="auto"/>
    </w:pPr>
  </w:style>
  <w:style w:type="character" w:customStyle="1" w:styleId="a6">
    <w:name w:val="Нижній колонтитул Знак"/>
    <w:basedOn w:val="a0"/>
    <w:link w:val="a5"/>
    <w:uiPriority w:val="99"/>
    <w:rsid w:val="00416649"/>
    <w:rPr>
      <w:rFonts w:ascii="Osnova MFA Cyrillic" w:eastAsia="Osnova MFA Cyrillic" w:hAnsi="Osnova MFA Cyrillic" w:cs="Osnova MFA Cyrillic"/>
      <w:color w:val="000000"/>
    </w:rPr>
  </w:style>
  <w:style w:type="character" w:styleId="a7">
    <w:name w:val="Hyperlink"/>
    <w:basedOn w:val="a0"/>
    <w:uiPriority w:val="99"/>
    <w:unhideWhenUsed/>
    <w:rsid w:val="00F30079"/>
    <w:rPr>
      <w:color w:val="467886" w:themeColor="hyperlink"/>
      <w:u w:val="single"/>
    </w:rPr>
  </w:style>
  <w:style w:type="character" w:customStyle="1" w:styleId="11">
    <w:name w:val="Незакрита згадка1"/>
    <w:basedOn w:val="a0"/>
    <w:uiPriority w:val="99"/>
    <w:semiHidden/>
    <w:unhideWhenUsed/>
    <w:rsid w:val="00F30079"/>
    <w:rPr>
      <w:color w:val="605E5C"/>
      <w:shd w:val="clear" w:color="auto" w:fill="E1DFDD"/>
    </w:rPr>
  </w:style>
  <w:style w:type="paragraph" w:styleId="a8">
    <w:name w:val="header"/>
    <w:basedOn w:val="a"/>
    <w:link w:val="a9"/>
    <w:uiPriority w:val="99"/>
    <w:unhideWhenUsed/>
    <w:rsid w:val="00AA6A6E"/>
    <w:pPr>
      <w:tabs>
        <w:tab w:val="center" w:pos="4680"/>
        <w:tab w:val="right" w:pos="9360"/>
      </w:tabs>
      <w:spacing w:after="0" w:line="240" w:lineRule="auto"/>
      <w:ind w:left="0" w:right="0" w:firstLine="0"/>
      <w:jc w:val="left"/>
    </w:pPr>
    <w:rPr>
      <w:rFonts w:asciiTheme="minorHAnsi" w:eastAsiaTheme="minorEastAsia" w:hAnsiTheme="minorHAnsi" w:cs="Times New Roman"/>
      <w:color w:val="auto"/>
      <w:kern w:val="0"/>
      <w:sz w:val="22"/>
      <w:szCs w:val="22"/>
      <w14:ligatures w14:val="none"/>
    </w:rPr>
  </w:style>
  <w:style w:type="character" w:customStyle="1" w:styleId="a9">
    <w:name w:val="Верхній колонтитул Знак"/>
    <w:basedOn w:val="a0"/>
    <w:link w:val="a8"/>
    <w:uiPriority w:val="99"/>
    <w:rsid w:val="00AA6A6E"/>
    <w:rPr>
      <w:rFonts w:cs="Times New Roman"/>
      <w:kern w:val="0"/>
      <w:sz w:val="22"/>
      <w:szCs w:val="22"/>
      <w14:ligatures w14:val="none"/>
    </w:rPr>
  </w:style>
  <w:style w:type="character" w:styleId="aa">
    <w:name w:val="Unresolved Mention"/>
    <w:basedOn w:val="a0"/>
    <w:uiPriority w:val="99"/>
    <w:semiHidden/>
    <w:unhideWhenUsed/>
    <w:rsid w:val="005A7F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dp.kilimo.go.t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jects.worldbank.org/en/projects-operations/project-detail/P17981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faolex.fao.org/docs/pdf/tan212099.pdf" TargetMode="External"/><Relationship Id="rId4" Type="http://schemas.openxmlformats.org/officeDocument/2006/relationships/settings" Target="settings.xml"/><Relationship Id="rId9" Type="http://schemas.openxmlformats.org/officeDocument/2006/relationships/hyperlink" Target="https://faolex.fao.org/docs/pdf/tan205461.pdf"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746AD-CCF3-40C4-99E5-79D79BB76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11240</Words>
  <Characters>6408</Characters>
  <Application>Microsoft Office Word</Application>
  <DocSecurity>0</DocSecurity>
  <Lines>53</Lines>
  <Paragraphs>35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Klodnickayte</dc:creator>
  <cp:keywords/>
  <cp:lastModifiedBy>recept</cp:lastModifiedBy>
  <cp:revision>2</cp:revision>
  <dcterms:created xsi:type="dcterms:W3CDTF">2026-03-19T08:13:00Z</dcterms:created>
  <dcterms:modified xsi:type="dcterms:W3CDTF">2026-03-19T08:13:00Z</dcterms:modified>
</cp:coreProperties>
</file>